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1652257564"/>
        <w:docPartObj>
          <w:docPartGallery w:val="autotext"/>
        </w:docPartObj>
      </w:sdtPr>
      <w:sdtEndPr>
        <w:rPr>
          <w:rFonts w:ascii="黑体" w:hAnsi="黑体"/>
          <w:sz w:val="44"/>
          <w:szCs w:val="44"/>
        </w:rPr>
      </w:sdtEndPr>
      <w:sdtContent>
        <w:p w14:paraId="193E4CAF"/>
        <w:sdt>
          <w:sdtPr>
            <w:rPr>
              <w:sz w:val="28"/>
            </w:rPr>
            <w:id w:val="197750963"/>
            <w:docPartObj>
              <w:docPartGallery w:val="autotext"/>
            </w:docPartObj>
          </w:sdtPr>
          <w:sdtEndPr>
            <w:rPr>
              <w:rFonts w:ascii="黑体" w:hAnsi="黑体"/>
              <w:sz w:val="44"/>
              <w:szCs w:val="44"/>
            </w:rPr>
          </w:sdtEndPr>
          <w:sdtContent>
            <w:p w14:paraId="061098A4">
              <w:pPr>
                <w:pStyle w:val="30"/>
              </w:pPr>
            </w:p>
            <w:p w14:paraId="2FB88E69">
              <w:pPr>
                <w:rPr>
                  <w:rFonts w:ascii="黑体" w:hAnsi="黑体"/>
                  <w:sz w:val="72"/>
                  <w:szCs w:val="44"/>
                </w:rPr>
                <w:sectPr>
                  <w:headerReference r:id="rId4" w:type="first"/>
                  <w:footerReference r:id="rId5" w:type="default"/>
                  <w:headerReference r:id="rId3" w:type="even"/>
                  <w:footerReference r:id="rId6" w:type="even"/>
                  <w:type w:val="nextColumn"/>
                  <w:pgSz w:w="23814" w:h="16840"/>
                  <w:pgMar w:top="1440" w:right="1800" w:bottom="1440" w:left="1800" w:header="851" w:footer="992" w:gutter="0"/>
                  <w:pgNumType w:start="0"/>
                  <w:cols w:space="425" w:num="2"/>
                  <w:titlePg/>
                  <w:docGrid w:type="lines" w:linePitch="312" w:charSpace="0"/>
                </w:sectPr>
              </w:pPr>
            </w:p>
            <w:p w14:paraId="2EE0F109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37DD604C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767CEF89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04F7DF97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2305EBB9">
              <w:pPr>
                <w:jc w:val="center"/>
                <w:rPr>
                  <w:rFonts w:ascii="黑体" w:hAnsi="宋体" w:eastAsia="黑体" w:cs="黑体"/>
                  <w:color w:val="000000"/>
                  <w:kern w:val="0"/>
                  <w:sz w:val="57"/>
                  <w:szCs w:val="57"/>
                  <w:lang w:val="en-US" w:eastAsia="zh-CN" w:bidi="ar"/>
                </w:rPr>
              </w:pPr>
              <w:r>
                <w:rPr>
                  <w:rFonts w:hint="eastAsia" w:ascii="黑体" w:hAnsi="宋体" w:eastAsia="黑体" w:cs="黑体"/>
                  <w:color w:val="000000"/>
                  <w:kern w:val="0"/>
                  <w:sz w:val="57"/>
                  <w:szCs w:val="57"/>
                  <w:lang w:val="en-US" w:eastAsia="zh-CN" w:bidi="ar"/>
                </w:rPr>
                <w:t>大箐山县朗乡镇101011-01-0102地块控制性详细规划</w:t>
              </w:r>
            </w:p>
            <w:p w14:paraId="15745EEF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  <w:r>
                <w:rPr>
                  <w:rFonts w:hint="eastAsia" w:ascii="黑体" w:hAnsi="黑体"/>
                  <w:sz w:val="72"/>
                  <w:szCs w:val="44"/>
                </w:rPr>
                <w:t>文本</w:t>
              </w:r>
            </w:p>
            <w:p w14:paraId="09800D45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1127F146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070788B0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28A077F9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10BA1C16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6BA49688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3AB741BC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72B3D348">
              <w:pPr>
                <w:jc w:val="center"/>
                <w:rPr>
                  <w:rFonts w:ascii="黑体" w:hAnsi="黑体"/>
                  <w:sz w:val="72"/>
                  <w:szCs w:val="44"/>
                </w:rPr>
                <w:sectPr>
                  <w:footerReference r:id="rId8" w:type="first"/>
                  <w:footerReference r:id="rId7" w:type="default"/>
                  <w:type w:val="continuous"/>
                  <w:pgSz w:w="23814" w:h="16840"/>
                  <w:pgMar w:top="1440" w:right="1800" w:bottom="1440" w:left="1800" w:header="851" w:footer="992" w:gutter="0"/>
                  <w:pgNumType w:start="0"/>
                  <w:cols w:space="425" w:num="1"/>
                  <w:docGrid w:type="lines" w:linePitch="312" w:charSpace="0"/>
                </w:sectPr>
              </w:pPr>
            </w:p>
            <w:p w14:paraId="796D650C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38F4F0B4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</w:sdtContent>
        </w:sdt>
        <w:p w14:paraId="5D14385B">
          <w:pPr>
            <w:widowControl/>
            <w:jc w:val="left"/>
            <w:rPr>
              <w:rFonts w:ascii="黑体" w:hAnsi="黑体"/>
              <w:sz w:val="44"/>
              <w:szCs w:val="44"/>
            </w:rPr>
            <w:sectPr>
              <w:pgSz w:w="23814" w:h="16840"/>
              <w:pgMar w:top="1440" w:right="1800" w:bottom="1440" w:left="1800" w:header="851" w:footer="992" w:gutter="0"/>
              <w:pgNumType w:start="1"/>
              <w:cols w:space="425" w:num="1"/>
              <w:titlePg/>
              <w:docGrid w:type="lines" w:linePitch="312" w:charSpace="0"/>
            </w:sectPr>
          </w:pPr>
        </w:p>
        <w:p w14:paraId="3A71A54E">
          <w:pPr>
            <w:widowControl/>
            <w:jc w:val="left"/>
            <w:rPr>
              <w:rFonts w:ascii="黑体" w:hAnsi="黑体"/>
              <w:sz w:val="44"/>
              <w:szCs w:val="44"/>
            </w:rPr>
          </w:pPr>
        </w:p>
      </w:sdtContent>
    </w:sdt>
    <w:p w14:paraId="34DF734F">
      <w:pPr>
        <w:widowControl/>
        <w:jc w:val="center"/>
        <w:rPr>
          <w:rFonts w:ascii="黑体" w:hAnsi="黑体"/>
          <w:sz w:val="30"/>
          <w:szCs w:val="30"/>
        </w:rPr>
      </w:pPr>
      <w:r>
        <w:rPr>
          <w:rFonts w:hint="eastAsia" w:ascii="黑体" w:hAnsi="黑体"/>
          <w:sz w:val="30"/>
          <w:szCs w:val="30"/>
        </w:rPr>
        <w:t xml:space="preserve">目 </w:t>
      </w:r>
      <w:r>
        <w:rPr>
          <w:rFonts w:ascii="黑体" w:hAnsi="黑体"/>
          <w:sz w:val="30"/>
          <w:szCs w:val="30"/>
        </w:rPr>
        <w:t xml:space="preserve">   </w:t>
      </w:r>
      <w:r>
        <w:rPr>
          <w:rFonts w:hint="eastAsia" w:ascii="黑体" w:hAnsi="黑体"/>
          <w:sz w:val="30"/>
          <w:szCs w:val="30"/>
        </w:rPr>
        <w:t>录</w:t>
      </w:r>
    </w:p>
    <w:p w14:paraId="299D9D05">
      <w:pPr>
        <w:pStyle w:val="14"/>
        <w:tabs>
          <w:tab w:val="right" w:leader="dot" w:pos="9894"/>
          <w:tab w:val="clear" w:pos="8296"/>
        </w:tabs>
      </w:pPr>
      <w:r>
        <w:rPr>
          <w:rStyle w:val="23"/>
          <w:rFonts w:ascii="宋体" w:hAnsi="宋体" w:eastAsia="宋体"/>
          <w:b w:val="0"/>
          <w:sz w:val="28"/>
          <w:szCs w:val="28"/>
        </w:rPr>
        <w:fldChar w:fldCharType="begin"/>
      </w:r>
      <w:r>
        <w:rPr>
          <w:rStyle w:val="23"/>
          <w:rFonts w:hint="eastAsia" w:ascii="宋体" w:hAnsi="宋体" w:eastAsia="宋体"/>
          <w:b w:val="0"/>
          <w:sz w:val="28"/>
          <w:szCs w:val="28"/>
        </w:rPr>
        <w:instrText xml:space="preserve">TOC \o "1-2" \h \z \u</w:instrText>
      </w:r>
      <w:r>
        <w:rPr>
          <w:rStyle w:val="23"/>
          <w:rFonts w:ascii="宋体" w:hAnsi="宋体" w:eastAsia="宋体"/>
          <w:b w:val="0"/>
          <w:sz w:val="28"/>
          <w:szCs w:val="28"/>
        </w:rPr>
        <w:fldChar w:fldCharType="separate"/>
      </w: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_Toc20383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第一章 总则</w:t>
      </w:r>
      <w:r>
        <w:tab/>
      </w:r>
      <w:r>
        <w:fldChar w:fldCharType="begin"/>
      </w:r>
      <w:r>
        <w:instrText xml:space="preserve"> PAGEREF _Toc20383 \h </w:instrText>
      </w:r>
      <w:r>
        <w:fldChar w:fldCharType="separate"/>
      </w:r>
      <w:r>
        <w:t>1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705F222F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_Toc2578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 xml:space="preserve">第二章 </w:t>
      </w:r>
      <w:r>
        <w:rPr>
          <w:rFonts w:hint="eastAsia"/>
          <w:lang w:val="en-US" w:eastAsia="zh-CN"/>
        </w:rPr>
        <w:t>土地使用与布局</w:t>
      </w:r>
      <w:r>
        <w:tab/>
      </w:r>
      <w:r>
        <w:fldChar w:fldCharType="begin"/>
      </w:r>
      <w:r>
        <w:instrText xml:space="preserve"> PAGEREF _Toc2578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4FF4AB09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_Toc6544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</w:t>
      </w:r>
      <w:r>
        <w:t>三</w:t>
      </w:r>
      <w:r>
        <w:rPr>
          <w:rFonts w:hint="eastAsia"/>
        </w:rPr>
        <w:t>章 土地</w:t>
      </w:r>
      <w:r>
        <w:t>使用强度控制</w:t>
      </w:r>
      <w:r>
        <w:tab/>
      </w:r>
      <w:r>
        <w:fldChar w:fldCharType="begin"/>
      </w:r>
      <w:r>
        <w:instrText xml:space="preserve"> PAGEREF _Toc6544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0A8A095F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_Toc19077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第四</w:t>
      </w:r>
      <w:r>
        <w:t>章</w:t>
      </w:r>
      <w:r>
        <w:rPr>
          <w:rFonts w:hint="eastAsia"/>
        </w:rPr>
        <w:t xml:space="preserve"> 建筑</w:t>
      </w:r>
      <w:r>
        <w:t>物控制</w:t>
      </w:r>
      <w:bookmarkStart w:id="20" w:name="_GoBack"/>
      <w:bookmarkEnd w:id="20"/>
      <w:r>
        <w:tab/>
      </w:r>
      <w:r>
        <w:fldChar w:fldCharType="begin"/>
      </w:r>
      <w:r>
        <w:instrText xml:space="preserve"> PAGEREF _Toc19077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76356EE4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_Toc1422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第五</w:t>
      </w:r>
      <w:r>
        <w:t>章</w:t>
      </w:r>
      <w:r>
        <w:rPr>
          <w:rFonts w:hint="eastAsia"/>
        </w:rPr>
        <w:t xml:space="preserve"> 道路</w:t>
      </w:r>
      <w:r>
        <w:t>交通规划</w:t>
      </w:r>
      <w:r>
        <w:tab/>
      </w:r>
      <w:r>
        <w:fldChar w:fldCharType="begin"/>
      </w:r>
      <w:r>
        <w:instrText xml:space="preserve"> PAGEREF _Toc1422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3E27023A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_Toc26153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</w:t>
      </w:r>
      <w:r>
        <w:rPr>
          <w:rFonts w:hint="eastAsia"/>
          <w:lang w:val="en-US" w:eastAsia="zh-CN"/>
        </w:rPr>
        <w:t>六</w:t>
      </w:r>
      <w:r>
        <w:t>章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市政工程</w:t>
      </w:r>
      <w:r>
        <w:t>规划</w:t>
      </w:r>
      <w:r>
        <w:tab/>
      </w:r>
      <w:r>
        <w:fldChar w:fldCharType="begin"/>
      </w:r>
      <w:r>
        <w:instrText xml:space="preserve"> PAGEREF _Toc26153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6310E6F2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_Toc23779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章 防灾工程规划</w:t>
      </w:r>
      <w:r>
        <w:tab/>
      </w:r>
      <w:r>
        <w:fldChar w:fldCharType="begin"/>
      </w:r>
      <w:r>
        <w:instrText xml:space="preserve"> PAGEREF _Toc23779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4C07739A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_Toc1545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第七</w:t>
      </w:r>
      <w:r>
        <w:t>章</w:t>
      </w:r>
      <w:r>
        <w:rPr>
          <w:rFonts w:hint="eastAsia"/>
        </w:rPr>
        <w:t xml:space="preserve"> 附则</w:t>
      </w:r>
      <w:r>
        <w:tab/>
      </w:r>
      <w:r>
        <w:fldChar w:fldCharType="begin"/>
      </w:r>
      <w:r>
        <w:instrText xml:space="preserve"> PAGEREF _Toc1545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79D73E66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_Toc7624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附 表</w:t>
      </w:r>
      <w:r>
        <w:tab/>
      </w:r>
      <w:r>
        <w:fldChar w:fldCharType="begin"/>
      </w:r>
      <w:r>
        <w:instrText xml:space="preserve"> PAGEREF _Toc7624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537CA2A8">
      <w:pPr>
        <w:pStyle w:val="14"/>
        <w:spacing w:before="120" w:after="120" w:line="360" w:lineRule="auto"/>
        <w:ind w:firstLine="402" w:firstLineChars="200"/>
        <w:jc w:val="center"/>
        <w:rPr>
          <w:rFonts w:ascii="黑体" w:hAnsi="黑体"/>
          <w:sz w:val="36"/>
          <w:szCs w:val="44"/>
        </w:rPr>
        <w:sectPr>
          <w:type w:val="continuous"/>
          <w:pgSz w:w="23814" w:h="16840"/>
          <w:pgMar w:top="1440" w:right="1800" w:bottom="1440" w:left="1800" w:header="851" w:footer="992" w:gutter="0"/>
          <w:pgNumType w:start="0"/>
          <w:cols w:space="425" w:num="2"/>
          <w:titlePg/>
          <w:docGrid w:type="lines" w:linePitch="312" w:charSpace="0"/>
        </w:sectPr>
      </w:pPr>
      <w:r>
        <w:rPr>
          <w:rFonts w:ascii="宋体" w:hAnsi="宋体" w:eastAsia="宋体"/>
          <w:szCs w:val="28"/>
        </w:rPr>
        <w:fldChar w:fldCharType="end"/>
      </w:r>
      <w:bookmarkStart w:id="0" w:name="_Toc459648955"/>
      <w:bookmarkStart w:id="1" w:name="_Toc459648843"/>
    </w:p>
    <w:bookmarkEnd w:id="0"/>
    <w:bookmarkEnd w:id="1"/>
    <w:p w14:paraId="0DCA17EA">
      <w:pPr>
        <w:pStyle w:val="2"/>
        <w:spacing w:before="120" w:after="120"/>
        <w:ind w:firstLine="723"/>
      </w:pPr>
      <w:bookmarkStart w:id="2" w:name="_Toc462414907"/>
      <w:bookmarkStart w:id="3" w:name="_Toc20383"/>
      <w:r>
        <w:rPr>
          <w:rFonts w:hint="eastAsia"/>
        </w:rPr>
        <w:t>第一章 总则</w:t>
      </w:r>
      <w:bookmarkEnd w:id="2"/>
      <w:bookmarkEnd w:id="3"/>
    </w:p>
    <w:p w14:paraId="1D04330B">
      <w:pPr>
        <w:spacing w:line="360" w:lineRule="auto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第一条 规划</w:t>
      </w:r>
      <w:r>
        <w:rPr>
          <w:rFonts w:ascii="黑体" w:hAnsi="黑体" w:cs="Times New Roman"/>
          <w:sz w:val="28"/>
          <w:szCs w:val="40"/>
        </w:rPr>
        <w:t>目的</w:t>
      </w:r>
    </w:p>
    <w:p w14:paraId="4526E7F7">
      <w:pPr>
        <w:spacing w:line="360" w:lineRule="auto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为充分发挥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大箐山县</w:t>
      </w:r>
      <w:r>
        <w:rPr>
          <w:rFonts w:hint="eastAsia" w:ascii="宋体" w:hAnsi="宋体" w:eastAsia="宋体" w:cs="Times New Roman"/>
          <w:sz w:val="28"/>
          <w:szCs w:val="28"/>
        </w:rPr>
        <w:t>水产资源优势，通过建设现代化水产品加工、存储基地，打造"精深加工+冷链物流"的全产业链模式，既可提升本地水产品附加值，促进县域经济绿色转型，又能满足市场对优质生态水产品的需求，为乡村振兴培育新的产业支撑。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特编制本规划。</w:t>
      </w:r>
    </w:p>
    <w:p w14:paraId="009DC6B3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 xml:space="preserve">第二条 </w:t>
      </w:r>
      <w:r>
        <w:rPr>
          <w:rFonts w:ascii="黑体" w:hAnsi="黑体" w:cs="Times New Roman"/>
          <w:sz w:val="28"/>
          <w:szCs w:val="28"/>
        </w:rPr>
        <w:t>规划依据</w:t>
      </w:r>
    </w:p>
    <w:p w14:paraId="24781AC3"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本规划依据《中华人民共和国城乡规划法》（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2019年修订</w:t>
      </w:r>
      <w:r>
        <w:rPr>
          <w:rFonts w:hint="eastAsia" w:ascii="宋体" w:hAnsi="宋体" w:eastAsia="宋体"/>
          <w:sz w:val="28"/>
          <w:szCs w:val="28"/>
        </w:rPr>
        <w:t>）、《国土空间调查、规划、用途管制用地用海分类指南》（自然资发〔2023〕234号）、《城市规划编制办法》、《控制</w:t>
      </w:r>
      <w:r>
        <w:rPr>
          <w:rFonts w:ascii="宋体" w:hAnsi="宋体" w:eastAsia="宋体"/>
          <w:sz w:val="28"/>
          <w:szCs w:val="28"/>
        </w:rPr>
        <w:t>性详细规划编制规范</w:t>
      </w:r>
      <w:r>
        <w:rPr>
          <w:rFonts w:hint="eastAsia" w:ascii="宋体" w:hAnsi="宋体" w:eastAsia="宋体"/>
          <w:sz w:val="28"/>
          <w:szCs w:val="28"/>
        </w:rPr>
        <w:t>》（DB23/T744-2</w:t>
      </w:r>
      <w:r>
        <w:rPr>
          <w:rFonts w:ascii="宋体" w:hAnsi="宋体" w:eastAsia="宋体"/>
          <w:sz w:val="28"/>
          <w:szCs w:val="28"/>
        </w:rPr>
        <w:t>004</w:t>
      </w:r>
      <w:r>
        <w:rPr>
          <w:rFonts w:hint="eastAsia" w:ascii="宋体" w:hAnsi="宋体" w:eastAsia="宋体"/>
          <w:sz w:val="28"/>
          <w:szCs w:val="28"/>
        </w:rPr>
        <w:t>）</w:t>
      </w:r>
      <w:r>
        <w:rPr>
          <w:rFonts w:hint="eastAsia" w:ascii="宋体" w:hAnsi="宋体" w:eastAsia="宋体" w:cs="Times New Roman"/>
          <w:sz w:val="28"/>
          <w:szCs w:val="28"/>
        </w:rPr>
        <w:t>及关于本项目的相关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规划</w:t>
      </w:r>
      <w:r>
        <w:rPr>
          <w:rFonts w:hint="eastAsia" w:ascii="宋体" w:hAnsi="宋体" w:eastAsia="宋体" w:cs="Times New Roman"/>
          <w:sz w:val="28"/>
          <w:szCs w:val="28"/>
        </w:rPr>
        <w:t>批复、批件，并</w:t>
      </w:r>
      <w:r>
        <w:rPr>
          <w:rFonts w:ascii="宋体" w:hAnsi="宋体" w:eastAsia="宋体" w:cs="Times New Roman"/>
          <w:sz w:val="28"/>
          <w:szCs w:val="28"/>
        </w:rPr>
        <w:t>符合</w:t>
      </w:r>
      <w:r>
        <w:rPr>
          <w:rFonts w:hint="eastAsia" w:ascii="宋体" w:hAnsi="宋体" w:eastAsia="宋体" w:cs="Times New Roman"/>
          <w:sz w:val="28"/>
          <w:szCs w:val="28"/>
        </w:rPr>
        <w:t>国家</w:t>
      </w:r>
      <w:r>
        <w:rPr>
          <w:rFonts w:ascii="宋体" w:hAnsi="宋体" w:eastAsia="宋体" w:cs="Times New Roman"/>
          <w:sz w:val="28"/>
          <w:szCs w:val="28"/>
        </w:rPr>
        <w:t>相关法律法规及其他有关技术</w:t>
      </w:r>
      <w:r>
        <w:rPr>
          <w:rFonts w:hint="eastAsia" w:ascii="宋体" w:hAnsi="宋体" w:eastAsia="宋体" w:cs="Times New Roman"/>
          <w:sz w:val="28"/>
          <w:szCs w:val="28"/>
        </w:rPr>
        <w:t>规范</w:t>
      </w:r>
      <w:r>
        <w:rPr>
          <w:rFonts w:ascii="宋体" w:hAnsi="宋体" w:eastAsia="宋体" w:cs="Times New Roman"/>
          <w:sz w:val="28"/>
          <w:szCs w:val="28"/>
        </w:rPr>
        <w:t>和标准的要求</w:t>
      </w:r>
      <w:r>
        <w:rPr>
          <w:rFonts w:hint="eastAsia" w:ascii="宋体" w:hAnsi="宋体" w:eastAsia="宋体" w:cs="Times New Roman"/>
          <w:sz w:val="28"/>
          <w:szCs w:val="28"/>
        </w:rPr>
        <w:t>。</w:t>
      </w:r>
    </w:p>
    <w:p w14:paraId="08D87A3F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第三条 强制性</w:t>
      </w:r>
      <w:r>
        <w:rPr>
          <w:rFonts w:ascii="黑体" w:hAnsi="黑体" w:cs="Times New Roman"/>
          <w:sz w:val="28"/>
          <w:szCs w:val="28"/>
        </w:rPr>
        <w:t>内容</w:t>
      </w:r>
    </w:p>
    <w:p w14:paraId="73D66CD8">
      <w:pPr>
        <w:spacing w:line="360" w:lineRule="auto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本规划经批准后，具有法定效力，必须严格执行文本中强制性条文，不得擅自改变。本规划文本中条文黑体加下“____”条文为强制性内容。</w:t>
      </w:r>
    </w:p>
    <w:p w14:paraId="041A8FE3">
      <w:pPr>
        <w:spacing w:line="360" w:lineRule="auto"/>
        <w:rPr>
          <w:rFonts w:ascii="黑体" w:hAnsi="黑体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第四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黑体" w:hAnsi="黑体"/>
          <w:sz w:val="28"/>
          <w:szCs w:val="28"/>
          <w:u w:val="single"/>
        </w:rPr>
        <w:t>任何单位和个人在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101011-01-0102</w:t>
      </w:r>
      <w:r>
        <w:rPr>
          <w:rFonts w:hint="eastAsia" w:ascii="黑体" w:hAnsi="黑体"/>
          <w:sz w:val="28"/>
          <w:szCs w:val="28"/>
          <w:u w:val="single"/>
        </w:rPr>
        <w:t>地块</w:t>
      </w:r>
      <w:r>
        <w:rPr>
          <w:rFonts w:ascii="黑体" w:hAnsi="黑体"/>
          <w:sz w:val="28"/>
          <w:szCs w:val="28"/>
          <w:u w:val="single"/>
        </w:rPr>
        <w:t>规划范围内</w:t>
      </w:r>
      <w:r>
        <w:rPr>
          <w:rFonts w:hint="eastAsia" w:ascii="黑体" w:hAnsi="黑体"/>
          <w:sz w:val="28"/>
          <w:szCs w:val="28"/>
          <w:u w:val="single"/>
        </w:rPr>
        <w:t>规划与</w:t>
      </w:r>
      <w:r>
        <w:rPr>
          <w:rFonts w:ascii="黑体" w:hAnsi="黑体"/>
          <w:sz w:val="28"/>
          <w:szCs w:val="28"/>
          <w:u w:val="single"/>
        </w:rPr>
        <w:t>实施规划和建设，必须遵守本规划。</w:t>
      </w:r>
    </w:p>
    <w:p w14:paraId="0A0E9CDC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第五条 规划</w:t>
      </w:r>
      <w:r>
        <w:rPr>
          <w:rFonts w:ascii="黑体" w:hAnsi="黑体" w:cs="Times New Roman"/>
          <w:sz w:val="28"/>
          <w:szCs w:val="28"/>
        </w:rPr>
        <w:t>范围</w:t>
      </w:r>
    </w:p>
    <w:p w14:paraId="3B73AE11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规划</w:t>
      </w:r>
      <w:r>
        <w:rPr>
          <w:rFonts w:ascii="黑体" w:hAnsi="黑体"/>
          <w:sz w:val="28"/>
          <w:szCs w:val="28"/>
          <w:u w:val="single"/>
        </w:rPr>
        <w:t>范围：</w:t>
      </w:r>
      <w:r>
        <w:rPr>
          <w:rFonts w:hint="eastAsia" w:ascii="黑体" w:hAnsi="黑体"/>
          <w:sz w:val="28"/>
          <w:szCs w:val="28"/>
          <w:u w:val="single"/>
        </w:rPr>
        <w:t>伊春市大箐山县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朗乡镇西北侧</w:t>
      </w:r>
      <w:r>
        <w:rPr>
          <w:rFonts w:hint="eastAsia" w:ascii="黑体" w:hAnsi="黑体"/>
          <w:sz w:val="28"/>
          <w:szCs w:val="28"/>
          <w:u w:val="single"/>
        </w:rPr>
        <w:t>，用地面积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5401.38</w:t>
      </w:r>
      <w:r>
        <w:rPr>
          <w:rFonts w:hint="eastAsia" w:ascii="黑体" w:hAnsi="黑体"/>
          <w:sz w:val="28"/>
          <w:szCs w:val="28"/>
          <w:u w:val="single"/>
        </w:rPr>
        <w:t>平方米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。</w:t>
      </w:r>
    </w:p>
    <w:p w14:paraId="3753EF4A">
      <w:pPr>
        <w:pStyle w:val="2"/>
        <w:spacing w:before="120" w:after="120" w:line="360" w:lineRule="auto"/>
        <w:ind w:firstLine="723"/>
        <w:rPr>
          <w:rFonts w:hint="default" w:eastAsia="黑体"/>
          <w:lang w:val="en-US" w:eastAsia="zh-CN"/>
        </w:rPr>
      </w:pPr>
      <w:bookmarkStart w:id="4" w:name="_Toc462414908"/>
      <w:bookmarkStart w:id="5" w:name="_Toc2578"/>
      <w:r>
        <w:rPr>
          <w:rFonts w:hint="eastAsia"/>
        </w:rPr>
        <w:t xml:space="preserve">第二章 </w:t>
      </w:r>
      <w:bookmarkEnd w:id="4"/>
      <w:r>
        <w:rPr>
          <w:rFonts w:hint="eastAsia"/>
          <w:lang w:val="en-US" w:eastAsia="zh-CN"/>
        </w:rPr>
        <w:t>土地使用与布局</w:t>
      </w:r>
      <w:bookmarkEnd w:id="5"/>
    </w:p>
    <w:p w14:paraId="2A0FC931">
      <w:pPr>
        <w:spacing w:line="360" w:lineRule="auto"/>
        <w:rPr>
          <w:sz w:val="28"/>
          <w:szCs w:val="32"/>
        </w:rPr>
      </w:pPr>
      <w:r>
        <w:rPr>
          <w:rFonts w:hint="eastAsia" w:ascii="黑体" w:hAnsi="黑体"/>
          <w:sz w:val="28"/>
          <w:szCs w:val="32"/>
        </w:rPr>
        <w:t xml:space="preserve">第六条 </w:t>
      </w:r>
      <w:r>
        <w:rPr>
          <w:sz w:val="28"/>
          <w:szCs w:val="32"/>
        </w:rPr>
        <w:t>用地性质</w:t>
      </w:r>
    </w:p>
    <w:p w14:paraId="3AA63870">
      <w:pPr>
        <w:spacing w:line="360" w:lineRule="auto"/>
        <w:ind w:firstLine="560"/>
        <w:rPr>
          <w:rFonts w:ascii="黑体" w:hAnsi="黑体"/>
          <w:sz w:val="28"/>
          <w:szCs w:val="32"/>
          <w:u w:val="single"/>
        </w:rPr>
      </w:pP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规划用地性质为二类工业用地</w:t>
      </w:r>
      <w:r>
        <w:rPr>
          <w:rFonts w:hint="eastAsia" w:ascii="黑体" w:hAnsi="黑体"/>
          <w:sz w:val="28"/>
          <w:szCs w:val="32"/>
          <w:u w:val="single"/>
        </w:rPr>
        <w:t>，用地</w:t>
      </w:r>
      <w:r>
        <w:rPr>
          <w:rFonts w:ascii="黑体" w:hAnsi="黑体"/>
          <w:sz w:val="28"/>
          <w:szCs w:val="32"/>
          <w:u w:val="single"/>
        </w:rPr>
        <w:t>代码</w:t>
      </w:r>
      <w:r>
        <w:rPr>
          <w:rFonts w:hint="eastAsia" w:ascii="黑体" w:hAnsi="黑体"/>
          <w:sz w:val="28"/>
          <w:szCs w:val="32"/>
          <w:u w:val="single"/>
        </w:rPr>
        <w:t>为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100102</w:t>
      </w:r>
      <w:r>
        <w:rPr>
          <w:rFonts w:ascii="黑体" w:hAnsi="黑体"/>
          <w:sz w:val="28"/>
          <w:szCs w:val="32"/>
          <w:u w:val="single"/>
        </w:rPr>
        <w:t>。</w:t>
      </w:r>
    </w:p>
    <w:p w14:paraId="15D00026">
      <w:pPr>
        <w:spacing w:line="360" w:lineRule="auto"/>
        <w:rPr>
          <w:sz w:val="28"/>
          <w:szCs w:val="32"/>
        </w:rPr>
      </w:pPr>
      <w:r>
        <w:rPr>
          <w:rFonts w:hint="eastAsia" w:ascii="黑体" w:hAnsi="黑体"/>
          <w:sz w:val="28"/>
          <w:szCs w:val="32"/>
        </w:rPr>
        <w:t xml:space="preserve">第七条 </w:t>
      </w:r>
      <w:r>
        <w:rPr>
          <w:rFonts w:hint="eastAsia"/>
          <w:sz w:val="28"/>
          <w:szCs w:val="32"/>
        </w:rPr>
        <w:t>用地</w:t>
      </w:r>
      <w:r>
        <w:rPr>
          <w:sz w:val="28"/>
          <w:szCs w:val="32"/>
        </w:rPr>
        <w:t>规模</w:t>
      </w:r>
    </w:p>
    <w:p w14:paraId="67A27503">
      <w:pPr>
        <w:spacing w:line="360" w:lineRule="auto"/>
        <w:ind w:firstLine="560"/>
        <w:rPr>
          <w:rFonts w:hint="eastAsia" w:ascii="黑体" w:hAnsi="黑体"/>
          <w:sz w:val="28"/>
          <w:szCs w:val="32"/>
          <w:u w:val="single"/>
        </w:rPr>
      </w:pP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规划</w:t>
      </w:r>
      <w:r>
        <w:rPr>
          <w:rFonts w:hint="eastAsia" w:ascii="黑体" w:hAnsi="黑体"/>
          <w:sz w:val="28"/>
          <w:szCs w:val="32"/>
          <w:u w:val="single"/>
        </w:rPr>
        <w:t>用地规模</w:t>
      </w:r>
      <w:r>
        <w:rPr>
          <w:rFonts w:ascii="黑体" w:hAnsi="黑体"/>
          <w:sz w:val="28"/>
          <w:szCs w:val="32"/>
          <w:u w:val="single"/>
        </w:rPr>
        <w:t>为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5401.38</w:t>
      </w:r>
      <w:r>
        <w:rPr>
          <w:rFonts w:hint="eastAsia" w:ascii="黑体" w:hAnsi="黑体"/>
          <w:sz w:val="28"/>
          <w:szCs w:val="32"/>
          <w:u w:val="single"/>
        </w:rPr>
        <w:t>平方米。</w:t>
      </w:r>
    </w:p>
    <w:p w14:paraId="14BD3603">
      <w:pPr>
        <w:spacing w:line="360" w:lineRule="auto"/>
        <w:rPr>
          <w:rFonts w:hint="default" w:eastAsia="黑体"/>
          <w:sz w:val="28"/>
          <w:szCs w:val="32"/>
          <w:lang w:val="en-US" w:eastAsia="zh-CN"/>
        </w:rPr>
      </w:pPr>
      <w:r>
        <w:rPr>
          <w:rFonts w:hint="eastAsia" w:ascii="黑体" w:hAnsi="黑体"/>
          <w:sz w:val="28"/>
          <w:szCs w:val="32"/>
        </w:rPr>
        <w:t xml:space="preserve">第七条 </w:t>
      </w:r>
      <w:r>
        <w:rPr>
          <w:rFonts w:hint="eastAsia"/>
          <w:sz w:val="28"/>
          <w:szCs w:val="32"/>
          <w:lang w:val="en-US" w:eastAsia="zh-CN"/>
        </w:rPr>
        <w:t>用地布局</w:t>
      </w:r>
    </w:p>
    <w:p w14:paraId="3537C196">
      <w:pPr>
        <w:spacing w:line="360" w:lineRule="auto"/>
        <w:ind w:firstLine="560"/>
        <w:rPr>
          <w:rFonts w:hint="eastAsia" w:ascii="黑体" w:hAnsi="黑体"/>
          <w:b w:val="0"/>
          <w:bCs w:val="0"/>
          <w:sz w:val="28"/>
          <w:szCs w:val="32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规划用地分为1个地块，地块编号为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101011-01-0102</w:t>
      </w:r>
      <w:r>
        <w:rPr>
          <w:rFonts w:hint="eastAsia" w:ascii="黑体" w:hAnsi="黑体"/>
          <w:b w:val="0"/>
          <w:bCs w:val="0"/>
          <w:sz w:val="28"/>
          <w:szCs w:val="32"/>
          <w:u w:val="none"/>
        </w:rPr>
        <w:t>。</w:t>
      </w:r>
    </w:p>
    <w:p w14:paraId="5E6FF1AB">
      <w:pPr>
        <w:pStyle w:val="2"/>
        <w:spacing w:before="120" w:after="120" w:line="360" w:lineRule="auto"/>
        <w:ind w:firstLine="723"/>
      </w:pPr>
      <w:bookmarkStart w:id="6" w:name="_Toc462414909"/>
      <w:bookmarkStart w:id="7" w:name="_Toc6544"/>
      <w:r>
        <w:rPr>
          <w:rFonts w:hint="eastAsia"/>
        </w:rPr>
        <w:t>第</w:t>
      </w:r>
      <w:r>
        <w:t>三</w:t>
      </w:r>
      <w:r>
        <w:rPr>
          <w:rFonts w:hint="eastAsia"/>
        </w:rPr>
        <w:t>章 土地</w:t>
      </w:r>
      <w:r>
        <w:t>使用强度控制</w:t>
      </w:r>
      <w:bookmarkEnd w:id="6"/>
      <w:bookmarkEnd w:id="7"/>
    </w:p>
    <w:p w14:paraId="4A6B4096">
      <w:pPr>
        <w:spacing w:line="360" w:lineRule="auto"/>
        <w:jc w:val="left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 w:cs="Times New Roman"/>
          <w:sz w:val="28"/>
          <w:szCs w:val="28"/>
        </w:rPr>
        <w:t>第八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ascii="宋体" w:hAnsi="宋体" w:eastAsia="宋体" w:cs="Times New Roman"/>
          <w:sz w:val="28"/>
          <w:szCs w:val="40"/>
        </w:rPr>
        <w:t>规划对土地开发强度控制内容为容积率、建筑密度、建筑限高、绿地率。</w:t>
      </w:r>
      <w:r>
        <w:rPr>
          <w:rFonts w:hint="eastAsia" w:ascii="黑体" w:hAnsi="黑体"/>
          <w:sz w:val="28"/>
          <w:szCs w:val="32"/>
          <w:u w:val="single"/>
        </w:rPr>
        <w:t>本地块容积率控制在不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小</w:t>
      </w:r>
      <w:r>
        <w:rPr>
          <w:rFonts w:hint="eastAsia" w:ascii="黑体" w:hAnsi="黑体"/>
          <w:sz w:val="28"/>
          <w:szCs w:val="32"/>
          <w:u w:val="single"/>
        </w:rPr>
        <w:t>于1.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0</w:t>
      </w:r>
      <w:r>
        <w:rPr>
          <w:rFonts w:hint="eastAsia" w:ascii="黑体" w:hAnsi="黑体"/>
          <w:sz w:val="28"/>
          <w:szCs w:val="32"/>
          <w:u w:val="single"/>
        </w:rPr>
        <w:t>，建筑密度控制在不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小</w:t>
      </w:r>
      <w:r>
        <w:rPr>
          <w:rFonts w:hint="eastAsia" w:ascii="黑体" w:hAnsi="黑体"/>
          <w:sz w:val="28"/>
          <w:szCs w:val="32"/>
          <w:u w:val="single"/>
        </w:rPr>
        <w:t>于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40</w:t>
      </w:r>
      <w:r>
        <w:rPr>
          <w:rFonts w:hint="eastAsia" w:ascii="黑体" w:hAnsi="黑体"/>
          <w:sz w:val="28"/>
          <w:szCs w:val="32"/>
          <w:u w:val="single"/>
        </w:rPr>
        <w:t>.00%</w:t>
      </w:r>
      <w:r>
        <w:rPr>
          <w:rFonts w:hint="eastAsia" w:ascii="黑体" w:hAnsi="黑体"/>
          <w:sz w:val="28"/>
          <w:szCs w:val="32"/>
          <w:u w:val="single"/>
          <w:lang w:eastAsia="zh-CN"/>
        </w:rPr>
        <w:t>，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绿地率不大于20.00%，建筑高度不大于15米</w:t>
      </w:r>
      <w:r>
        <w:rPr>
          <w:rFonts w:ascii="黑体" w:hAnsi="黑体"/>
          <w:sz w:val="28"/>
          <w:szCs w:val="28"/>
          <w:u w:val="single"/>
        </w:rPr>
        <w:t>。</w:t>
      </w:r>
    </w:p>
    <w:p w14:paraId="0F99A1F9">
      <w:pPr>
        <w:pStyle w:val="2"/>
        <w:spacing w:before="120" w:after="120" w:line="360" w:lineRule="auto"/>
        <w:ind w:firstLine="723"/>
      </w:pPr>
      <w:bookmarkStart w:id="8" w:name="_Toc19077"/>
      <w:bookmarkStart w:id="9" w:name="_Toc462414910"/>
      <w:r>
        <w:rPr>
          <w:rFonts w:hint="eastAsia"/>
        </w:rPr>
        <w:t>第四</w:t>
      </w:r>
      <w:r>
        <w:t>章</w:t>
      </w:r>
      <w:r>
        <w:rPr>
          <w:rFonts w:hint="eastAsia"/>
        </w:rPr>
        <w:t xml:space="preserve"> 建筑</w:t>
      </w:r>
      <w:r>
        <w:t>物控制</w:t>
      </w:r>
      <w:bookmarkEnd w:id="8"/>
      <w:bookmarkEnd w:id="9"/>
    </w:p>
    <w:p w14:paraId="13E77B04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九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建筑</w:t>
      </w:r>
      <w:r>
        <w:rPr>
          <w:rFonts w:ascii="黑体" w:hAnsi="黑体" w:cs="Times New Roman"/>
          <w:sz w:val="28"/>
          <w:szCs w:val="28"/>
        </w:rPr>
        <w:t>间距控制</w:t>
      </w:r>
    </w:p>
    <w:p w14:paraId="32670CB7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地块</w:t>
      </w:r>
      <w:r>
        <w:rPr>
          <w:rFonts w:ascii="黑体" w:hAnsi="黑体"/>
          <w:sz w:val="28"/>
          <w:szCs w:val="28"/>
          <w:u w:val="single"/>
        </w:rPr>
        <w:t>内所有建筑的间距必须满足</w:t>
      </w:r>
      <w:r>
        <w:rPr>
          <w:rFonts w:hint="eastAsia" w:ascii="黑体" w:hAnsi="黑体"/>
          <w:sz w:val="28"/>
          <w:szCs w:val="28"/>
          <w:u w:val="single"/>
        </w:rPr>
        <w:t>黑龙江</w:t>
      </w:r>
      <w:r>
        <w:rPr>
          <w:rFonts w:ascii="黑体" w:hAnsi="黑体"/>
          <w:sz w:val="28"/>
          <w:szCs w:val="28"/>
          <w:u w:val="single"/>
        </w:rPr>
        <w:t>省建设厅发布的</w:t>
      </w:r>
      <w:r>
        <w:rPr>
          <w:rFonts w:hint="eastAsia" w:ascii="黑体" w:hAnsi="黑体"/>
          <w:sz w:val="28"/>
          <w:szCs w:val="28"/>
          <w:u w:val="single"/>
        </w:rPr>
        <w:t>《控制性</w:t>
      </w:r>
      <w:r>
        <w:rPr>
          <w:rFonts w:ascii="黑体" w:hAnsi="黑体"/>
          <w:sz w:val="28"/>
          <w:szCs w:val="28"/>
          <w:u w:val="single"/>
        </w:rPr>
        <w:t>详细规划编制规范</w:t>
      </w:r>
      <w:r>
        <w:rPr>
          <w:rFonts w:hint="eastAsia" w:ascii="黑体" w:hAnsi="黑体"/>
          <w:sz w:val="28"/>
          <w:szCs w:val="28"/>
          <w:u w:val="single"/>
        </w:rPr>
        <w:t>》（DB23/</w:t>
      </w:r>
      <w:r>
        <w:rPr>
          <w:rFonts w:ascii="黑体" w:hAnsi="黑体"/>
          <w:sz w:val="28"/>
          <w:szCs w:val="28"/>
          <w:u w:val="single"/>
        </w:rPr>
        <w:t>T744-2004</w:t>
      </w:r>
      <w:r>
        <w:rPr>
          <w:rFonts w:hint="eastAsia" w:ascii="黑体" w:hAnsi="黑体"/>
          <w:sz w:val="28"/>
          <w:szCs w:val="28"/>
          <w:u w:val="single"/>
        </w:rPr>
        <w:t>）中</w:t>
      </w:r>
      <w:r>
        <w:rPr>
          <w:rFonts w:ascii="黑体" w:hAnsi="黑体"/>
          <w:sz w:val="28"/>
          <w:szCs w:val="28"/>
          <w:u w:val="single"/>
        </w:rPr>
        <w:t>相关要求，并符合国家有关日照、消防、交通、工程管线敷设及卫生条件等要求，符合有关建筑规范和防火规范的要求。</w:t>
      </w:r>
    </w:p>
    <w:p w14:paraId="365F8E2A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十条</w:t>
      </w:r>
      <w:r>
        <w:rPr>
          <w:rFonts w:hint="eastAsia" w:ascii="黑体" w:hAnsi="黑体" w:cs="Times New Roman"/>
          <w:sz w:val="28"/>
          <w:szCs w:val="28"/>
        </w:rPr>
        <w:t xml:space="preserve"> 建筑</w:t>
      </w:r>
      <w:r>
        <w:rPr>
          <w:rFonts w:ascii="黑体" w:hAnsi="黑体" w:cs="Times New Roman"/>
          <w:sz w:val="28"/>
          <w:szCs w:val="28"/>
        </w:rPr>
        <w:t>后退控制</w:t>
      </w:r>
    </w:p>
    <w:p w14:paraId="7BF85DA3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建筑</w:t>
      </w:r>
      <w:r>
        <w:rPr>
          <w:rFonts w:ascii="黑体" w:hAnsi="黑体"/>
          <w:sz w:val="28"/>
          <w:szCs w:val="28"/>
          <w:u w:val="single"/>
        </w:rPr>
        <w:t>退让用地红线距离和</w:t>
      </w:r>
      <w:r>
        <w:rPr>
          <w:rFonts w:hint="eastAsia" w:ascii="黑体" w:hAnsi="黑体"/>
          <w:sz w:val="28"/>
          <w:szCs w:val="28"/>
          <w:u w:val="single"/>
        </w:rPr>
        <w:t>退让</w:t>
      </w:r>
      <w:r>
        <w:rPr>
          <w:rFonts w:ascii="黑体" w:hAnsi="黑体"/>
          <w:sz w:val="28"/>
          <w:szCs w:val="28"/>
          <w:u w:val="single"/>
        </w:rPr>
        <w:t>道路红线距离，应满足消防、地下管线、交通安全、防灾、绿化和工程施工等方面的规定，以及由城市规划主管部门制定的相关规划要求。</w:t>
      </w:r>
      <w:r>
        <w:rPr>
          <w:rFonts w:hint="eastAsia" w:ascii="黑体" w:hAnsi="黑体"/>
          <w:sz w:val="28"/>
          <w:szCs w:val="28"/>
          <w:u w:val="single"/>
        </w:rPr>
        <w:t>沿地块界线建筑最小后退距离为5米。</w:t>
      </w:r>
    </w:p>
    <w:p w14:paraId="022D1DC5">
      <w:pPr>
        <w:pStyle w:val="2"/>
        <w:spacing w:before="120" w:after="120" w:line="360" w:lineRule="auto"/>
        <w:ind w:firstLine="723"/>
      </w:pPr>
      <w:bookmarkStart w:id="10" w:name="_Toc462414911"/>
      <w:bookmarkStart w:id="11" w:name="_Toc1422"/>
      <w:r>
        <w:rPr>
          <w:rFonts w:hint="eastAsia"/>
        </w:rPr>
        <w:t>第五</w:t>
      </w:r>
      <w:r>
        <w:t>章</w:t>
      </w:r>
      <w:r>
        <w:rPr>
          <w:rFonts w:hint="eastAsia"/>
        </w:rPr>
        <w:t xml:space="preserve"> 道路</w:t>
      </w:r>
      <w:r>
        <w:t>交通规划</w:t>
      </w:r>
      <w:bookmarkEnd w:id="10"/>
      <w:bookmarkEnd w:id="11"/>
    </w:p>
    <w:p w14:paraId="382708D4">
      <w:pPr>
        <w:spacing w:line="360" w:lineRule="auto"/>
        <w:jc w:val="left"/>
        <w:rPr>
          <w:rFonts w:hint="default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一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交通设施</w:t>
      </w:r>
    </w:p>
    <w:p w14:paraId="17DBC33E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地块周边道路网系统、交通设施、机动车出入口位置等应符合地块控制图则的规定。</w:t>
      </w:r>
    </w:p>
    <w:p w14:paraId="7CD5ABCB">
      <w:pPr>
        <w:spacing w:line="360" w:lineRule="auto"/>
        <w:jc w:val="left"/>
        <w:rPr>
          <w:rFonts w:hint="default" w:ascii="黑体" w:hAnsi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二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道路系统</w:t>
      </w:r>
    </w:p>
    <w:p w14:paraId="64DDEF99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规划区南侧可连接龙乡大街，东侧有进场道路与地块相连，交通便捷。</w:t>
      </w:r>
    </w:p>
    <w:p w14:paraId="6048311B">
      <w:pPr>
        <w:spacing w:line="360" w:lineRule="auto"/>
        <w:jc w:val="left"/>
        <w:rPr>
          <w:rFonts w:hint="eastAsia" w:ascii="黑体" w:hAnsi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三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竖向规划</w:t>
      </w:r>
    </w:p>
    <w:p w14:paraId="313DBBC4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道路竖向设计应综合考虑地形、防洪防涝和工程管网的布线等要求，道路纵坡应尽量保证在0.3%—3.0%之间。</w:t>
      </w:r>
    </w:p>
    <w:p w14:paraId="1BAD13B5">
      <w:pPr>
        <w:pStyle w:val="2"/>
        <w:spacing w:before="120" w:after="120" w:line="360" w:lineRule="auto"/>
        <w:ind w:firstLine="723"/>
      </w:pPr>
      <w:bookmarkStart w:id="12" w:name="_Toc26153"/>
      <w:r>
        <w:rPr>
          <w:rFonts w:hint="eastAsia"/>
        </w:rPr>
        <w:t>第</w:t>
      </w:r>
      <w:r>
        <w:rPr>
          <w:rFonts w:hint="eastAsia"/>
          <w:lang w:val="en-US" w:eastAsia="zh-CN"/>
        </w:rPr>
        <w:t>六</w:t>
      </w:r>
      <w:r>
        <w:t>章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市政工程</w:t>
      </w:r>
      <w:r>
        <w:t>规划</w:t>
      </w:r>
      <w:bookmarkEnd w:id="12"/>
    </w:p>
    <w:p w14:paraId="7CB68CDE">
      <w:pPr>
        <w:spacing w:line="360" w:lineRule="auto"/>
        <w:jc w:val="left"/>
        <w:rPr>
          <w:rFonts w:hint="default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四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给水工程</w:t>
      </w:r>
    </w:p>
    <w:p w14:paraId="60B05D11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  <w:t>水源由市政给水管网供应，可满足规划地块用水需求。</w:t>
      </w:r>
    </w:p>
    <w:p w14:paraId="23769EA9">
      <w:pPr>
        <w:spacing w:line="360" w:lineRule="auto"/>
        <w:jc w:val="left"/>
        <w:rPr>
          <w:rFonts w:hint="default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五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排水工程</w:t>
      </w:r>
    </w:p>
    <w:p w14:paraId="3093F8B4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  <w:t>污水排入现状市政管网，收集后经污水处理厂处理。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雨水地面径流排至场地外。</w:t>
      </w:r>
    </w:p>
    <w:p w14:paraId="12F9CFCE">
      <w:pPr>
        <w:spacing w:line="360" w:lineRule="auto"/>
        <w:jc w:val="left"/>
        <w:rPr>
          <w:rFonts w:hint="default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六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供热工程</w:t>
      </w:r>
    </w:p>
    <w:p w14:paraId="6EDFC99C">
      <w:pPr>
        <w:spacing w:line="360" w:lineRule="auto"/>
        <w:ind w:firstLine="425" w:firstLineChars="152"/>
        <w:jc w:val="left"/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</w:pPr>
      <w:r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  <w:t>规划供热方式为集中供暖。</w:t>
      </w:r>
    </w:p>
    <w:p w14:paraId="67A18832">
      <w:pPr>
        <w:spacing w:line="360" w:lineRule="auto"/>
        <w:jc w:val="left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七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电力工程</w:t>
      </w:r>
    </w:p>
    <w:p w14:paraId="06C85EC7">
      <w:pPr>
        <w:spacing w:line="360" w:lineRule="auto"/>
        <w:ind w:firstLine="425" w:firstLineChars="152"/>
        <w:jc w:val="left"/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</w:pPr>
      <w:r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  <w:t>由市政提供10kV高压电源，接入市政电网。</w:t>
      </w:r>
    </w:p>
    <w:p w14:paraId="14D52617">
      <w:pPr>
        <w:spacing w:line="360" w:lineRule="auto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6BF8684C">
      <w:pPr>
        <w:pStyle w:val="2"/>
        <w:spacing w:before="120" w:after="120" w:line="360" w:lineRule="auto"/>
        <w:ind w:firstLine="723"/>
      </w:pPr>
      <w:bookmarkStart w:id="13" w:name="_Toc462414913"/>
      <w:bookmarkStart w:id="14" w:name="_Toc23779"/>
      <w:r>
        <w:rPr>
          <w:rFonts w:hint="eastAsia"/>
        </w:rPr>
        <w:t>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 xml:space="preserve">章 </w:t>
      </w:r>
      <w:bookmarkEnd w:id="13"/>
      <w:r>
        <w:rPr>
          <w:rFonts w:hint="eastAsia"/>
        </w:rPr>
        <w:t>防灾工程规划</w:t>
      </w:r>
      <w:bookmarkEnd w:id="14"/>
    </w:p>
    <w:p w14:paraId="33C62B4A">
      <w:pPr>
        <w:spacing w:line="360" w:lineRule="auto"/>
        <w:jc w:val="left"/>
        <w:rPr>
          <w:rFonts w:ascii="黑体" w:hAnsi="黑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第十</w:t>
      </w:r>
      <w:r>
        <w:rPr>
          <w:rFonts w:hint="eastAsia" w:ascii="黑体" w:hAnsi="黑体" w:cs="Times New Roman"/>
          <w:sz w:val="28"/>
          <w:szCs w:val="40"/>
          <w:lang w:val="en-US" w:eastAsia="zh-CN"/>
        </w:rPr>
        <w:t>八</w:t>
      </w:r>
      <w:r>
        <w:rPr>
          <w:rFonts w:ascii="黑体" w:hAnsi="黑体" w:cs="Times New Roman"/>
          <w:sz w:val="28"/>
          <w:szCs w:val="40"/>
        </w:rPr>
        <w:t>条</w:t>
      </w:r>
      <w:r>
        <w:rPr>
          <w:rFonts w:hint="eastAsia" w:ascii="黑体" w:hAnsi="黑体" w:cs="Times New Roman"/>
          <w:sz w:val="28"/>
          <w:szCs w:val="40"/>
        </w:rPr>
        <w:t xml:space="preserve"> 消防工程</w:t>
      </w:r>
      <w:r>
        <w:rPr>
          <w:rFonts w:ascii="黑体" w:hAnsi="黑体" w:cs="Times New Roman"/>
          <w:sz w:val="28"/>
          <w:szCs w:val="40"/>
        </w:rPr>
        <w:t>规划</w:t>
      </w:r>
    </w:p>
    <w:p w14:paraId="22D6D13F">
      <w:pPr>
        <w:spacing w:line="360" w:lineRule="auto"/>
        <w:ind w:firstLine="425" w:firstLineChars="152"/>
        <w:jc w:val="left"/>
        <w:rPr>
          <w:rFonts w:ascii="黑体" w:hAnsi="黑体" w:cs="Times New Roman"/>
          <w:sz w:val="28"/>
          <w:szCs w:val="40"/>
          <w:u w:val="single"/>
        </w:rPr>
      </w:pPr>
      <w:r>
        <w:rPr>
          <w:rFonts w:hint="eastAsia" w:ascii="黑体" w:hAnsi="黑体" w:cs="Times New Roman"/>
          <w:sz w:val="28"/>
          <w:szCs w:val="40"/>
          <w:u w:val="single"/>
        </w:rPr>
        <w:t>地块</w:t>
      </w:r>
      <w:r>
        <w:rPr>
          <w:rFonts w:ascii="黑体" w:hAnsi="黑体" w:cs="Times New Roman"/>
          <w:sz w:val="28"/>
          <w:szCs w:val="40"/>
          <w:u w:val="single"/>
        </w:rPr>
        <w:t>内设计必须符合</w:t>
      </w:r>
      <w:r>
        <w:rPr>
          <w:rFonts w:hint="eastAsia" w:ascii="黑体" w:hAnsi="黑体" w:cs="Times New Roman"/>
          <w:sz w:val="28"/>
          <w:szCs w:val="40"/>
          <w:u w:val="single"/>
        </w:rPr>
        <w:t>防火</w:t>
      </w:r>
      <w:r>
        <w:rPr>
          <w:rFonts w:ascii="黑体" w:hAnsi="黑体" w:cs="Times New Roman"/>
          <w:sz w:val="28"/>
          <w:szCs w:val="40"/>
          <w:u w:val="single"/>
        </w:rPr>
        <w:t>设计规范</w:t>
      </w:r>
      <w:r>
        <w:rPr>
          <w:rFonts w:hint="eastAsia" w:ascii="黑体" w:hAnsi="黑体" w:cs="Times New Roman"/>
          <w:sz w:val="28"/>
          <w:szCs w:val="40"/>
          <w:u w:val="single"/>
        </w:rPr>
        <w:t>等</w:t>
      </w:r>
      <w:r>
        <w:rPr>
          <w:rFonts w:ascii="黑体" w:hAnsi="黑体" w:cs="Times New Roman"/>
          <w:sz w:val="28"/>
          <w:szCs w:val="40"/>
          <w:u w:val="single"/>
        </w:rPr>
        <w:t>相关法律、法规及规范</w:t>
      </w:r>
      <w:r>
        <w:rPr>
          <w:rFonts w:hint="eastAsia" w:ascii="黑体" w:hAnsi="黑体" w:cs="Times New Roman"/>
          <w:sz w:val="28"/>
          <w:szCs w:val="40"/>
          <w:u w:val="single"/>
        </w:rPr>
        <w:t>。</w:t>
      </w:r>
    </w:p>
    <w:p w14:paraId="21221212">
      <w:pPr>
        <w:spacing w:line="360" w:lineRule="auto"/>
        <w:jc w:val="left"/>
        <w:rPr>
          <w:rFonts w:ascii="黑体" w:hAnsi="黑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</w:t>
      </w:r>
      <w:r>
        <w:rPr>
          <w:rFonts w:hint="eastAsia" w:ascii="黑体" w:hAnsi="黑体" w:cs="Times New Roman"/>
          <w:sz w:val="28"/>
          <w:szCs w:val="40"/>
          <w:lang w:val="en-US" w:eastAsia="zh-CN"/>
        </w:rPr>
        <w:t>十九</w:t>
      </w:r>
      <w:r>
        <w:rPr>
          <w:rFonts w:ascii="黑体" w:hAnsi="黑体" w:cs="Times New Roman"/>
          <w:sz w:val="28"/>
          <w:szCs w:val="40"/>
        </w:rPr>
        <w:t>条</w:t>
      </w:r>
      <w:r>
        <w:rPr>
          <w:rFonts w:hint="eastAsia" w:ascii="黑体" w:hAnsi="黑体" w:cs="Times New Roman"/>
          <w:sz w:val="28"/>
          <w:szCs w:val="40"/>
        </w:rPr>
        <w:t xml:space="preserve"> 抗震减灾</w:t>
      </w:r>
      <w:r>
        <w:rPr>
          <w:rFonts w:ascii="黑体" w:hAnsi="黑体" w:cs="Times New Roman"/>
          <w:sz w:val="28"/>
          <w:szCs w:val="40"/>
        </w:rPr>
        <w:t>规划</w:t>
      </w:r>
    </w:p>
    <w:p w14:paraId="331C0239">
      <w:pPr>
        <w:spacing w:line="360" w:lineRule="auto"/>
        <w:ind w:firstLine="425" w:firstLineChars="152"/>
        <w:jc w:val="left"/>
        <w:rPr>
          <w:rFonts w:ascii="黑体" w:hAnsi="黑体" w:cs="Times New Roman"/>
          <w:sz w:val="28"/>
          <w:szCs w:val="40"/>
          <w:u w:val="single"/>
        </w:rPr>
      </w:pPr>
      <w:r>
        <w:rPr>
          <w:rFonts w:hint="eastAsia" w:ascii="黑体" w:hAnsi="黑体" w:cs="Times New Roman"/>
          <w:sz w:val="28"/>
          <w:szCs w:val="40"/>
          <w:u w:val="single"/>
        </w:rPr>
        <w:t>本地块</w:t>
      </w:r>
      <w:r>
        <w:rPr>
          <w:rFonts w:ascii="黑体" w:hAnsi="黑体" w:cs="Times New Roman"/>
          <w:sz w:val="28"/>
          <w:szCs w:val="40"/>
          <w:u w:val="single"/>
        </w:rPr>
        <w:t>位于</w:t>
      </w:r>
      <w:r>
        <w:rPr>
          <w:rFonts w:hint="eastAsia" w:ascii="黑体" w:hAnsi="黑体" w:cs="Times New Roman"/>
          <w:sz w:val="28"/>
          <w:szCs w:val="40"/>
          <w:u w:val="single"/>
        </w:rPr>
        <w:t>我省</w:t>
      </w:r>
      <w:r>
        <w:rPr>
          <w:rFonts w:ascii="黑体" w:hAnsi="黑体" w:cs="Times New Roman"/>
          <w:sz w:val="28"/>
          <w:szCs w:val="40"/>
          <w:u w:val="single"/>
        </w:rPr>
        <w:t>地震弱震区，所在地位</w:t>
      </w:r>
      <w:r>
        <w:rPr>
          <w:rFonts w:hint="eastAsia" w:ascii="黑体" w:hAnsi="黑体" w:cs="Times New Roman"/>
          <w:sz w:val="28"/>
          <w:szCs w:val="40"/>
          <w:u w:val="single"/>
        </w:rPr>
        <w:t>于6°</w:t>
      </w:r>
      <w:r>
        <w:rPr>
          <w:rFonts w:ascii="黑体" w:hAnsi="黑体" w:cs="Times New Roman"/>
          <w:sz w:val="28"/>
          <w:szCs w:val="40"/>
          <w:u w:val="single"/>
        </w:rPr>
        <w:t>抗震设防和设计基本地震加速度值为</w:t>
      </w:r>
      <w:r>
        <w:rPr>
          <w:rFonts w:hint="eastAsia" w:ascii="黑体" w:hAnsi="黑体" w:cs="Times New Roman"/>
          <w:sz w:val="28"/>
          <w:szCs w:val="40"/>
          <w:u w:val="single"/>
        </w:rPr>
        <w:t>0.05g地区</w:t>
      </w:r>
      <w:r>
        <w:rPr>
          <w:rFonts w:ascii="黑体" w:hAnsi="黑体" w:cs="Times New Roman"/>
          <w:sz w:val="28"/>
          <w:szCs w:val="40"/>
          <w:u w:val="single"/>
        </w:rPr>
        <w:t>，</w:t>
      </w:r>
      <w:r>
        <w:rPr>
          <w:rFonts w:hint="eastAsia" w:ascii="黑体" w:hAnsi="黑体" w:cs="Times New Roman"/>
          <w:sz w:val="28"/>
          <w:szCs w:val="40"/>
          <w:u w:val="single"/>
        </w:rPr>
        <w:t>建筑</w:t>
      </w:r>
      <w:r>
        <w:rPr>
          <w:rFonts w:ascii="黑体" w:hAnsi="黑体" w:cs="Times New Roman"/>
          <w:sz w:val="28"/>
          <w:szCs w:val="40"/>
          <w:u w:val="single"/>
        </w:rPr>
        <w:t>抗震按</w:t>
      </w:r>
      <w:r>
        <w:rPr>
          <w:rFonts w:hint="eastAsia" w:ascii="黑体" w:hAnsi="黑体" w:cs="Times New Roman"/>
          <w:sz w:val="28"/>
          <w:szCs w:val="40"/>
          <w:u w:val="single"/>
        </w:rPr>
        <w:t>6°</w:t>
      </w:r>
      <w:r>
        <w:rPr>
          <w:rFonts w:ascii="黑体" w:hAnsi="黑体" w:cs="Times New Roman"/>
          <w:sz w:val="28"/>
          <w:szCs w:val="40"/>
          <w:u w:val="single"/>
        </w:rPr>
        <w:t>抗震设防烈度设防。</w:t>
      </w:r>
    </w:p>
    <w:p w14:paraId="5458DFED">
      <w:pPr>
        <w:pStyle w:val="2"/>
        <w:spacing w:before="120" w:after="120" w:line="360" w:lineRule="auto"/>
        <w:ind w:firstLine="723"/>
      </w:pPr>
      <w:bookmarkStart w:id="15" w:name="_Toc1545"/>
      <w:bookmarkStart w:id="16" w:name="_Toc462414914"/>
      <w:r>
        <w:rPr>
          <w:rFonts w:hint="eastAsia"/>
        </w:rPr>
        <w:t>第七</w:t>
      </w:r>
      <w:r>
        <w:t>章</w:t>
      </w:r>
      <w:r>
        <w:rPr>
          <w:rFonts w:hint="eastAsia"/>
        </w:rPr>
        <w:t xml:space="preserve"> 附则</w:t>
      </w:r>
      <w:bookmarkEnd w:id="15"/>
      <w:bookmarkEnd w:id="16"/>
    </w:p>
    <w:p w14:paraId="70937038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二十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文本</w:t>
      </w:r>
      <w:r>
        <w:rPr>
          <w:rFonts w:ascii="黑体" w:hAnsi="黑体" w:cs="Times New Roman"/>
          <w:sz w:val="28"/>
          <w:szCs w:val="28"/>
        </w:rPr>
        <w:t>的</w:t>
      </w:r>
      <w:r>
        <w:rPr>
          <w:rFonts w:hint="eastAsia" w:ascii="黑体" w:hAnsi="黑体" w:cs="Times New Roman"/>
          <w:sz w:val="28"/>
          <w:szCs w:val="28"/>
        </w:rPr>
        <w:t>法定</w:t>
      </w:r>
      <w:r>
        <w:rPr>
          <w:rFonts w:ascii="黑体" w:hAnsi="黑体" w:cs="Times New Roman"/>
          <w:sz w:val="28"/>
          <w:szCs w:val="28"/>
        </w:rPr>
        <w:t>效力</w:t>
      </w:r>
    </w:p>
    <w:p w14:paraId="63450E7A">
      <w:pPr>
        <w:spacing w:line="360" w:lineRule="auto"/>
        <w:ind w:firstLine="560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</w:t>
      </w:r>
      <w:r>
        <w:rPr>
          <w:rFonts w:ascii="宋体" w:hAnsi="宋体" w:eastAsia="宋体" w:cs="Times New Roman"/>
          <w:sz w:val="28"/>
          <w:szCs w:val="40"/>
        </w:rPr>
        <w:t>规划由规划文本、</w:t>
      </w:r>
      <w:r>
        <w:rPr>
          <w:rFonts w:hint="eastAsia" w:ascii="宋体" w:hAnsi="宋体" w:eastAsia="宋体" w:cs="Times New Roman"/>
          <w:sz w:val="28"/>
          <w:szCs w:val="40"/>
        </w:rPr>
        <w:t>图纸</w:t>
      </w:r>
      <w:r>
        <w:rPr>
          <w:rFonts w:ascii="宋体" w:hAnsi="宋体" w:eastAsia="宋体" w:cs="Times New Roman"/>
          <w:sz w:val="28"/>
          <w:szCs w:val="40"/>
        </w:rPr>
        <w:t>和附件（</w:t>
      </w:r>
      <w:r>
        <w:rPr>
          <w:rFonts w:hint="eastAsia" w:ascii="宋体" w:hAnsi="宋体" w:eastAsia="宋体" w:cs="Times New Roman"/>
          <w:sz w:val="28"/>
          <w:szCs w:val="40"/>
        </w:rPr>
        <w:t>说明书</w:t>
      </w:r>
      <w:r>
        <w:rPr>
          <w:rFonts w:ascii="宋体" w:hAnsi="宋体" w:eastAsia="宋体" w:cs="Times New Roman"/>
          <w:sz w:val="28"/>
          <w:szCs w:val="40"/>
        </w:rPr>
        <w:t>）</w:t>
      </w:r>
      <w:r>
        <w:rPr>
          <w:rFonts w:hint="eastAsia" w:ascii="宋体" w:hAnsi="宋体" w:eastAsia="宋体" w:cs="Times New Roman"/>
          <w:sz w:val="28"/>
          <w:szCs w:val="40"/>
        </w:rPr>
        <w:t>组成</w:t>
      </w:r>
      <w:r>
        <w:rPr>
          <w:rFonts w:ascii="宋体" w:hAnsi="宋体" w:eastAsia="宋体" w:cs="Times New Roman"/>
          <w:sz w:val="28"/>
          <w:szCs w:val="40"/>
        </w:rPr>
        <w:t>，</w:t>
      </w:r>
      <w:r>
        <w:rPr>
          <w:rFonts w:hint="eastAsia" w:ascii="宋体" w:hAnsi="宋体" w:eastAsia="宋体" w:cs="Times New Roman"/>
          <w:sz w:val="28"/>
          <w:szCs w:val="40"/>
        </w:rPr>
        <w:t>规划文本和图纸具有同等的法定效力，两者同时使用，不可分割。</w:t>
      </w:r>
    </w:p>
    <w:p w14:paraId="6B493B27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二十一</w:t>
      </w:r>
      <w:r>
        <w:rPr>
          <w:rFonts w:hint="eastAsia" w:ascii="黑体" w:hAnsi="黑体" w:cs="Times New Roman"/>
          <w:sz w:val="28"/>
          <w:szCs w:val="28"/>
        </w:rPr>
        <w:t>条 规划</w:t>
      </w:r>
      <w:r>
        <w:rPr>
          <w:rFonts w:ascii="黑体" w:hAnsi="黑体" w:cs="Times New Roman"/>
          <w:sz w:val="28"/>
          <w:szCs w:val="28"/>
        </w:rPr>
        <w:t>的解释权</w:t>
      </w:r>
    </w:p>
    <w:p w14:paraId="736F4964">
      <w:pPr>
        <w:spacing w:line="360" w:lineRule="auto"/>
        <w:ind w:firstLine="560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本规划由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大箐山县</w:t>
      </w:r>
      <w:r>
        <w:rPr>
          <w:rFonts w:hint="eastAsia" w:ascii="宋体" w:hAnsi="宋体" w:eastAsia="宋体" w:cs="Times New Roman"/>
          <w:sz w:val="28"/>
          <w:szCs w:val="40"/>
        </w:rPr>
        <w:t>自然资源局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组织编制并组织实施，解释权属于大箐山</w:t>
      </w:r>
      <w:r>
        <w:rPr>
          <w:rFonts w:hint="eastAsia" w:ascii="宋体" w:hAnsi="宋体" w:eastAsia="宋体" w:cs="Times New Roman"/>
          <w:sz w:val="28"/>
          <w:szCs w:val="40"/>
        </w:rPr>
        <w:t>县自然资源局。</w:t>
      </w:r>
    </w:p>
    <w:p w14:paraId="0F5F75D8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第二十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二</w:t>
      </w:r>
      <w:r>
        <w:rPr>
          <w:rFonts w:hint="eastAsia" w:ascii="黑体" w:hAnsi="黑体" w:cs="Times New Roman"/>
          <w:sz w:val="28"/>
          <w:szCs w:val="28"/>
        </w:rPr>
        <w:t>条 规划实施</w:t>
      </w:r>
    </w:p>
    <w:p w14:paraId="5C38A454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本规划报送审批前，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大箐山县</w:t>
      </w:r>
      <w:r>
        <w:rPr>
          <w:rFonts w:hint="eastAsia" w:ascii="宋体" w:hAnsi="宋体" w:eastAsia="宋体" w:cs="Times New Roman"/>
          <w:sz w:val="28"/>
          <w:szCs w:val="40"/>
        </w:rPr>
        <w:t>自然资源局应依法将本规划予以公告，公告时间不得少于三十日，本规划自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</w:t>
      </w:r>
      <w:r>
        <w:rPr>
          <w:rFonts w:hint="eastAsia" w:ascii="宋体" w:hAnsi="宋体" w:eastAsia="宋体" w:cs="Times New Roman"/>
          <w:sz w:val="28"/>
          <w:szCs w:val="40"/>
        </w:rPr>
        <w:t>县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人民政府</w:t>
      </w:r>
      <w:r>
        <w:rPr>
          <w:rFonts w:hint="eastAsia" w:ascii="宋体" w:hAnsi="宋体" w:eastAsia="宋体" w:cs="Times New Roman"/>
          <w:sz w:val="28"/>
          <w:szCs w:val="40"/>
        </w:rPr>
        <w:t>批准之日起开始实施。</w:t>
      </w:r>
    </w:p>
    <w:p w14:paraId="5B97C4B8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455289DC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3F0B54A2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122422EB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04050196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4151323">
      <w:pPr>
        <w:pStyle w:val="2"/>
        <w:spacing w:before="120" w:after="120" w:line="360" w:lineRule="auto"/>
        <w:ind w:firstLine="723"/>
        <w:jc w:val="left"/>
      </w:pPr>
      <w:bookmarkStart w:id="17" w:name="_Toc462414915"/>
      <w:bookmarkStart w:id="18" w:name="_Toc7624"/>
      <w:r>
        <w:rPr>
          <w:rFonts w:hint="eastAsia"/>
        </w:rPr>
        <w:t>附 表</w:t>
      </w:r>
      <w:bookmarkEnd w:id="17"/>
      <w:bookmarkEnd w:id="18"/>
    </w:p>
    <w:p w14:paraId="031091C5">
      <w:pPr>
        <w:ind w:firstLine="364" w:firstLineChars="152"/>
        <w:jc w:val="center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控制指标一览表</w:t>
      </w:r>
    </w:p>
    <w:tbl>
      <w:tblPr>
        <w:tblStyle w:val="2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24"/>
        <w:gridCol w:w="1060"/>
        <w:gridCol w:w="1123"/>
        <w:gridCol w:w="821"/>
        <w:gridCol w:w="850"/>
        <w:gridCol w:w="851"/>
        <w:gridCol w:w="1274"/>
        <w:gridCol w:w="976"/>
        <w:gridCol w:w="976"/>
      </w:tblGrid>
      <w:tr w14:paraId="4F532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CFF60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bookmarkStart w:id="19" w:name="RANGE!A1:F66"/>
            <w:r>
              <w:rPr>
                <w:rFonts w:hint="eastAsia" w:ascii="宋体" w:hAnsi="宋体" w:eastAsia="宋体"/>
                <w:b/>
                <w:sz w:val="22"/>
              </w:rPr>
              <w:t>地块编号</w:t>
            </w:r>
            <w:bookmarkEnd w:id="19"/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DCBC9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用地性质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0FA38D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名称</w:t>
            </w:r>
          </w:p>
        </w:tc>
        <w:tc>
          <w:tcPr>
            <w:tcW w:w="112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247A4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用地面积</w:t>
            </w:r>
          </w:p>
          <w:p w14:paraId="3F833C3D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（平方米）</w:t>
            </w:r>
          </w:p>
        </w:tc>
        <w:tc>
          <w:tcPr>
            <w:tcW w:w="82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ACBF3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容积率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EF04F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建筑密度（%）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5E808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绿地率（%）</w:t>
            </w:r>
          </w:p>
        </w:tc>
        <w:tc>
          <w:tcPr>
            <w:tcW w:w="12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047F8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建筑限高</w:t>
            </w:r>
          </w:p>
          <w:p w14:paraId="0C093F86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(米)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33C293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  <w:lang w:val="en-US" w:eastAsia="zh-CN"/>
              </w:rPr>
              <w:t>出入口方位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C4643">
            <w:pPr>
              <w:jc w:val="center"/>
              <w:rPr>
                <w:rFonts w:hint="default" w:ascii="宋体" w:hAnsi="宋体" w:eastAsia="宋体"/>
                <w:b/>
                <w:sz w:val="22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2"/>
                <w:lang w:val="en-US" w:eastAsia="zh-CN"/>
              </w:rPr>
              <w:t>建筑退让（米）</w:t>
            </w:r>
          </w:p>
        </w:tc>
      </w:tr>
      <w:tr w14:paraId="7D729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5BB09">
            <w:pPr>
              <w:jc w:val="center"/>
              <w:rPr>
                <w:b/>
                <w:sz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52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0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8C79A">
            <w:pPr>
              <w:jc w:val="center"/>
              <w:rPr>
                <w:b/>
                <w:sz w:val="24"/>
              </w:rPr>
            </w:pPr>
          </w:p>
        </w:tc>
        <w:tc>
          <w:tcPr>
            <w:tcW w:w="11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DE260D">
            <w:pPr>
              <w:jc w:val="center"/>
              <w:rPr>
                <w:b/>
                <w:sz w:val="24"/>
              </w:rPr>
            </w:pPr>
          </w:p>
        </w:tc>
        <w:tc>
          <w:tcPr>
            <w:tcW w:w="82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6A905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6F1F07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060CD6">
            <w:pPr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7378B">
            <w:pPr>
              <w:jc w:val="center"/>
              <w:rPr>
                <w:b/>
                <w:sz w:val="24"/>
              </w:rPr>
            </w:pPr>
          </w:p>
        </w:tc>
        <w:tc>
          <w:tcPr>
            <w:tcW w:w="9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AD7F0">
            <w:pPr>
              <w:jc w:val="center"/>
              <w:rPr>
                <w:b/>
                <w:sz w:val="24"/>
              </w:rPr>
            </w:pPr>
          </w:p>
        </w:tc>
        <w:tc>
          <w:tcPr>
            <w:tcW w:w="9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B098C">
            <w:pPr>
              <w:jc w:val="center"/>
              <w:rPr>
                <w:b/>
                <w:sz w:val="24"/>
              </w:rPr>
            </w:pPr>
          </w:p>
        </w:tc>
      </w:tr>
      <w:tr w14:paraId="0B88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BC81C9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101011-01-0102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BD6C1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FAA90B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二类工业用地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3D973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5401.38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9CB12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≥1.0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05784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≥40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0A4508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≤20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73B31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6A73B">
            <w:pPr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东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FA79DF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</w:tr>
    </w:tbl>
    <w:p w14:paraId="5A0B95D2">
      <w:pPr>
        <w:ind w:firstLine="364" w:firstLineChars="152"/>
        <w:jc w:val="center"/>
        <w:rPr>
          <w:rFonts w:ascii="宋体" w:hAnsi="宋体" w:eastAsia="宋体" w:cs="Times New Roman"/>
          <w:sz w:val="24"/>
          <w:szCs w:val="24"/>
        </w:rPr>
      </w:pPr>
    </w:p>
    <w:p w14:paraId="673AF748"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备注：</w:t>
      </w:r>
    </w:p>
    <w:p w14:paraId="0DB79388"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1.本地块内建筑物、构筑物及其他设施的退让要求除满足本控规下限退让控制外、还应满足《建筑防火通用规范》（GB55037-2022)、等国家相关法律法规以及安全距离的相关规定。</w:t>
      </w:r>
    </w:p>
    <w:p w14:paraId="559E61FA"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2.尺寸标注单位为m。</w:t>
      </w:r>
    </w:p>
    <w:p w14:paraId="64AD7CF5"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3.具体定位采用2000国家大地坐标系。</w:t>
      </w:r>
    </w:p>
    <w:p w14:paraId="66934EA5"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4.本项目用地范围由建设单位提供,最终以当地自然资源部门实际审批为准。</w:t>
      </w:r>
    </w:p>
    <w:p w14:paraId="0B491236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5.本地块现状建筑情况以测绘图为准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7339E740">
      <w:pPr>
        <w:rPr>
          <w:rFonts w:ascii="宋体" w:hAnsi="宋体" w:eastAsia="宋体"/>
          <w:sz w:val="24"/>
          <w:szCs w:val="24"/>
        </w:rPr>
      </w:pPr>
    </w:p>
    <w:p w14:paraId="62907884">
      <w:pPr>
        <w:widowControl/>
        <w:rPr>
          <w:rFonts w:ascii="黑体" w:hAnsi="黑体"/>
          <w:sz w:val="36"/>
          <w:szCs w:val="44"/>
        </w:rPr>
      </w:pPr>
    </w:p>
    <w:p w14:paraId="5B6C597C">
      <w:pPr>
        <w:widowControl/>
        <w:rPr>
          <w:rFonts w:ascii="黑体" w:hAnsi="黑体"/>
          <w:sz w:val="36"/>
          <w:szCs w:val="44"/>
        </w:rPr>
      </w:pPr>
    </w:p>
    <w:p w14:paraId="66B1DBB6">
      <w:pPr>
        <w:widowControl/>
        <w:rPr>
          <w:rFonts w:ascii="黑体" w:hAnsi="黑体"/>
          <w:sz w:val="36"/>
          <w:szCs w:val="44"/>
        </w:rPr>
      </w:pPr>
    </w:p>
    <w:p w14:paraId="5046C403">
      <w:pPr>
        <w:widowControl/>
        <w:rPr>
          <w:rFonts w:ascii="黑体" w:hAnsi="黑体"/>
          <w:sz w:val="36"/>
          <w:szCs w:val="44"/>
        </w:rPr>
      </w:pPr>
    </w:p>
    <w:p w14:paraId="45DA7A56">
      <w:pPr>
        <w:widowControl/>
        <w:rPr>
          <w:rFonts w:ascii="黑体" w:hAnsi="黑体"/>
          <w:sz w:val="36"/>
          <w:szCs w:val="44"/>
        </w:rPr>
      </w:pPr>
    </w:p>
    <w:p w14:paraId="69940783">
      <w:pPr>
        <w:widowControl/>
        <w:rPr>
          <w:rFonts w:ascii="黑体" w:hAnsi="黑体"/>
          <w:sz w:val="36"/>
          <w:szCs w:val="44"/>
        </w:rPr>
      </w:pPr>
    </w:p>
    <w:p w14:paraId="321A1E68">
      <w:pPr>
        <w:widowControl/>
        <w:rPr>
          <w:rFonts w:ascii="黑体" w:hAnsi="黑体"/>
          <w:sz w:val="36"/>
          <w:szCs w:val="44"/>
        </w:rPr>
      </w:pPr>
    </w:p>
    <w:sectPr>
      <w:footerReference r:id="rId10" w:type="first"/>
      <w:footerReference r:id="rId9" w:type="default"/>
      <w:type w:val="nextColumn"/>
      <w:pgSz w:w="23814" w:h="16840"/>
      <w:pgMar w:top="1440" w:right="1800" w:bottom="1440" w:left="1800" w:header="851" w:footer="992" w:gutter="0"/>
      <w:pgNumType w:start="1"/>
      <w:cols w:space="570" w:num="2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6A618">
    <w:pPr>
      <w:pStyle w:val="12"/>
      <w:jc w:val="center"/>
      <w:rPr>
        <w:rFonts w:hint="eastAsia" w:eastAsia="黑体"/>
        <w:lang w:val="en-US" w:eastAsia="zh-CN"/>
      </w:rPr>
    </w:pPr>
    <w:r>
      <w:rPr>
        <w:rFonts w:hint="eastAsia"/>
        <w:lang w:val="en-US" w:eastAsia="zh-CN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11609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D07A9">
    <w:pPr>
      <w:pStyle w:val="12"/>
      <w:jc w:val="center"/>
      <w:rPr>
        <w:rFonts w:hint="eastAsia" w:eastAsia="黑体"/>
        <w:lang w:val="en-US" w:eastAsia="zh-CN"/>
      </w:rPr>
    </w:pPr>
    <w:r>
      <w:rPr>
        <w:rFonts w:hint="eastAsia"/>
        <w:lang w:val="en-US" w:eastAsia="zh-CN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4491"/>
      <w:docPartObj>
        <w:docPartGallery w:val="autotext"/>
      </w:docPartObj>
    </w:sdtPr>
    <w:sdtContent>
      <w:p w14:paraId="64E58E20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D8BAD7A">
    <w:pPr>
      <w:pStyle w:val="1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54975317"/>
      <w:docPartObj>
        <w:docPartGallery w:val="autotext"/>
      </w:docPartObj>
    </w:sdtPr>
    <w:sdtContent>
      <w:p w14:paraId="31FA0CB4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82ED745">
    <w:pPr>
      <w:pStyle w:val="12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575A8">
    <w:pPr>
      <w:pStyle w:val="12"/>
      <w:jc w:val="center"/>
    </w:pPr>
    <w:r>
      <w:rPr>
        <w:rFonts w:hint="eastAsia"/>
      </w:rPr>
      <w:t>1</w:t>
    </w:r>
  </w:p>
  <w:p w14:paraId="53AF8792"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FEFA9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AEAC3"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53"/>
    <w:rsid w:val="000063E1"/>
    <w:rsid w:val="00011FE2"/>
    <w:rsid w:val="000136A0"/>
    <w:rsid w:val="0002346C"/>
    <w:rsid w:val="00032F29"/>
    <w:rsid w:val="00034793"/>
    <w:rsid w:val="00043903"/>
    <w:rsid w:val="00047F5E"/>
    <w:rsid w:val="00076772"/>
    <w:rsid w:val="000A571A"/>
    <w:rsid w:val="000A646D"/>
    <w:rsid w:val="000C734D"/>
    <w:rsid w:val="000E3CBD"/>
    <w:rsid w:val="001075D4"/>
    <w:rsid w:val="001145E4"/>
    <w:rsid w:val="00154915"/>
    <w:rsid w:val="00163BF0"/>
    <w:rsid w:val="00171566"/>
    <w:rsid w:val="00174855"/>
    <w:rsid w:val="00174D70"/>
    <w:rsid w:val="00184D00"/>
    <w:rsid w:val="00186BD5"/>
    <w:rsid w:val="00197192"/>
    <w:rsid w:val="001D5A33"/>
    <w:rsid w:val="001D6A03"/>
    <w:rsid w:val="001D79EB"/>
    <w:rsid w:val="001F4560"/>
    <w:rsid w:val="00226D0A"/>
    <w:rsid w:val="00226E6F"/>
    <w:rsid w:val="00251990"/>
    <w:rsid w:val="00267FD0"/>
    <w:rsid w:val="00270082"/>
    <w:rsid w:val="002842E9"/>
    <w:rsid w:val="00296892"/>
    <w:rsid w:val="002C2908"/>
    <w:rsid w:val="002E0861"/>
    <w:rsid w:val="003402FC"/>
    <w:rsid w:val="00346918"/>
    <w:rsid w:val="00363025"/>
    <w:rsid w:val="003652AA"/>
    <w:rsid w:val="0036570B"/>
    <w:rsid w:val="00370F66"/>
    <w:rsid w:val="00386325"/>
    <w:rsid w:val="00390413"/>
    <w:rsid w:val="00397D3F"/>
    <w:rsid w:val="003A0928"/>
    <w:rsid w:val="003B1DE4"/>
    <w:rsid w:val="003C3EE0"/>
    <w:rsid w:val="003D2683"/>
    <w:rsid w:val="003D4A8B"/>
    <w:rsid w:val="0040158C"/>
    <w:rsid w:val="00404948"/>
    <w:rsid w:val="00412D75"/>
    <w:rsid w:val="0043388A"/>
    <w:rsid w:val="004632B1"/>
    <w:rsid w:val="00475ECC"/>
    <w:rsid w:val="00496066"/>
    <w:rsid w:val="004977A6"/>
    <w:rsid w:val="004D62B4"/>
    <w:rsid w:val="004E0B9B"/>
    <w:rsid w:val="00510865"/>
    <w:rsid w:val="005127B4"/>
    <w:rsid w:val="005266DD"/>
    <w:rsid w:val="005366F6"/>
    <w:rsid w:val="00560A6C"/>
    <w:rsid w:val="00562761"/>
    <w:rsid w:val="005633E4"/>
    <w:rsid w:val="00563CB4"/>
    <w:rsid w:val="00565C72"/>
    <w:rsid w:val="005675D1"/>
    <w:rsid w:val="0058113B"/>
    <w:rsid w:val="00581B66"/>
    <w:rsid w:val="00592D59"/>
    <w:rsid w:val="005B3F9C"/>
    <w:rsid w:val="005D0CC3"/>
    <w:rsid w:val="005F44C2"/>
    <w:rsid w:val="005F4772"/>
    <w:rsid w:val="00602620"/>
    <w:rsid w:val="006031C0"/>
    <w:rsid w:val="00622D88"/>
    <w:rsid w:val="00625FDC"/>
    <w:rsid w:val="006310A6"/>
    <w:rsid w:val="00632657"/>
    <w:rsid w:val="006337EF"/>
    <w:rsid w:val="0066238D"/>
    <w:rsid w:val="00665090"/>
    <w:rsid w:val="00676E7D"/>
    <w:rsid w:val="00682B97"/>
    <w:rsid w:val="00683A8A"/>
    <w:rsid w:val="00687B87"/>
    <w:rsid w:val="00692074"/>
    <w:rsid w:val="006B20F6"/>
    <w:rsid w:val="006B552F"/>
    <w:rsid w:val="006C449F"/>
    <w:rsid w:val="006D5FCF"/>
    <w:rsid w:val="006D70D2"/>
    <w:rsid w:val="00710F75"/>
    <w:rsid w:val="007368F0"/>
    <w:rsid w:val="0076183B"/>
    <w:rsid w:val="007854DB"/>
    <w:rsid w:val="007A1C8A"/>
    <w:rsid w:val="007D6719"/>
    <w:rsid w:val="007F4311"/>
    <w:rsid w:val="00804955"/>
    <w:rsid w:val="00825D0E"/>
    <w:rsid w:val="008273AF"/>
    <w:rsid w:val="008442A5"/>
    <w:rsid w:val="00846AB5"/>
    <w:rsid w:val="0085459B"/>
    <w:rsid w:val="00874EA8"/>
    <w:rsid w:val="00876209"/>
    <w:rsid w:val="008823F8"/>
    <w:rsid w:val="008C1CC5"/>
    <w:rsid w:val="008D3F45"/>
    <w:rsid w:val="008D46C5"/>
    <w:rsid w:val="008E6BB8"/>
    <w:rsid w:val="008E7DB5"/>
    <w:rsid w:val="008F2444"/>
    <w:rsid w:val="008F67EE"/>
    <w:rsid w:val="0090197D"/>
    <w:rsid w:val="00912BF4"/>
    <w:rsid w:val="009135B0"/>
    <w:rsid w:val="0091487F"/>
    <w:rsid w:val="00943ED8"/>
    <w:rsid w:val="009611D9"/>
    <w:rsid w:val="00972F2D"/>
    <w:rsid w:val="00975E06"/>
    <w:rsid w:val="009777A5"/>
    <w:rsid w:val="0099151D"/>
    <w:rsid w:val="009B076E"/>
    <w:rsid w:val="009C2BFC"/>
    <w:rsid w:val="009D453A"/>
    <w:rsid w:val="009D57D5"/>
    <w:rsid w:val="009E74F1"/>
    <w:rsid w:val="009F08F8"/>
    <w:rsid w:val="00A0344E"/>
    <w:rsid w:val="00A16348"/>
    <w:rsid w:val="00A241FA"/>
    <w:rsid w:val="00A27294"/>
    <w:rsid w:val="00A31566"/>
    <w:rsid w:val="00A407F0"/>
    <w:rsid w:val="00A51BE6"/>
    <w:rsid w:val="00A550C5"/>
    <w:rsid w:val="00A95B80"/>
    <w:rsid w:val="00A961DB"/>
    <w:rsid w:val="00AA0733"/>
    <w:rsid w:val="00AC102C"/>
    <w:rsid w:val="00AC6BA1"/>
    <w:rsid w:val="00AC75B5"/>
    <w:rsid w:val="00AD1025"/>
    <w:rsid w:val="00AE1B60"/>
    <w:rsid w:val="00AE6F91"/>
    <w:rsid w:val="00B05B7A"/>
    <w:rsid w:val="00B230F9"/>
    <w:rsid w:val="00B34B8A"/>
    <w:rsid w:val="00B402DC"/>
    <w:rsid w:val="00B54893"/>
    <w:rsid w:val="00B655C7"/>
    <w:rsid w:val="00B71361"/>
    <w:rsid w:val="00B73EA2"/>
    <w:rsid w:val="00B8430C"/>
    <w:rsid w:val="00B93961"/>
    <w:rsid w:val="00B9487A"/>
    <w:rsid w:val="00BA5677"/>
    <w:rsid w:val="00BB5D4B"/>
    <w:rsid w:val="00BD2844"/>
    <w:rsid w:val="00BD50CB"/>
    <w:rsid w:val="00C332AA"/>
    <w:rsid w:val="00C55D51"/>
    <w:rsid w:val="00C74782"/>
    <w:rsid w:val="00C81175"/>
    <w:rsid w:val="00C9101C"/>
    <w:rsid w:val="00C91EF5"/>
    <w:rsid w:val="00C96916"/>
    <w:rsid w:val="00CA0E9D"/>
    <w:rsid w:val="00CB3804"/>
    <w:rsid w:val="00CC48B5"/>
    <w:rsid w:val="00CE3D67"/>
    <w:rsid w:val="00CE64CF"/>
    <w:rsid w:val="00CF6A37"/>
    <w:rsid w:val="00D134F6"/>
    <w:rsid w:val="00D14630"/>
    <w:rsid w:val="00D20756"/>
    <w:rsid w:val="00D217B9"/>
    <w:rsid w:val="00D225B0"/>
    <w:rsid w:val="00D377D4"/>
    <w:rsid w:val="00D42E4D"/>
    <w:rsid w:val="00D525A6"/>
    <w:rsid w:val="00D55DCB"/>
    <w:rsid w:val="00D80694"/>
    <w:rsid w:val="00D86CE7"/>
    <w:rsid w:val="00D925E2"/>
    <w:rsid w:val="00D941D8"/>
    <w:rsid w:val="00DB4B59"/>
    <w:rsid w:val="00DE3665"/>
    <w:rsid w:val="00DF34C5"/>
    <w:rsid w:val="00E006F7"/>
    <w:rsid w:val="00E25C28"/>
    <w:rsid w:val="00E33F23"/>
    <w:rsid w:val="00E40BE6"/>
    <w:rsid w:val="00E412E9"/>
    <w:rsid w:val="00E57F33"/>
    <w:rsid w:val="00E6178E"/>
    <w:rsid w:val="00E76560"/>
    <w:rsid w:val="00E861B7"/>
    <w:rsid w:val="00EB0153"/>
    <w:rsid w:val="00EC649C"/>
    <w:rsid w:val="00ED7991"/>
    <w:rsid w:val="00EE694F"/>
    <w:rsid w:val="00F0698F"/>
    <w:rsid w:val="00F10579"/>
    <w:rsid w:val="00F22EB2"/>
    <w:rsid w:val="00F56227"/>
    <w:rsid w:val="00F662A4"/>
    <w:rsid w:val="00F741C3"/>
    <w:rsid w:val="00F74909"/>
    <w:rsid w:val="00F90FB3"/>
    <w:rsid w:val="00F970CB"/>
    <w:rsid w:val="00FA3423"/>
    <w:rsid w:val="00FD09D5"/>
    <w:rsid w:val="00FD5798"/>
    <w:rsid w:val="00FE777B"/>
    <w:rsid w:val="0D6D4E29"/>
    <w:rsid w:val="174F6B97"/>
    <w:rsid w:val="1895415B"/>
    <w:rsid w:val="2CF972DD"/>
    <w:rsid w:val="2DBF654A"/>
    <w:rsid w:val="34AB55BC"/>
    <w:rsid w:val="3EB218CB"/>
    <w:rsid w:val="404A2A0C"/>
    <w:rsid w:val="5D7C7655"/>
    <w:rsid w:val="64A069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3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1260"/>
      <w:jc w:val="left"/>
    </w:pPr>
    <w:rPr>
      <w:rFonts w:cstheme="minorHAnsi"/>
      <w:sz w:val="18"/>
      <w:szCs w:val="18"/>
    </w:rPr>
  </w:style>
  <w:style w:type="paragraph" w:styleId="6">
    <w:name w:val="Document Map"/>
    <w:basedOn w:val="1"/>
    <w:link w:val="36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toc 5"/>
    <w:basedOn w:val="1"/>
    <w:next w:val="1"/>
    <w:autoRedefine/>
    <w:unhideWhenUsed/>
    <w:qFormat/>
    <w:uiPriority w:val="39"/>
    <w:pPr>
      <w:ind w:left="840"/>
      <w:jc w:val="left"/>
    </w:pPr>
    <w:rPr>
      <w:rFonts w:cstheme="minorHAnsi"/>
      <w:sz w:val="18"/>
      <w:szCs w:val="18"/>
    </w:rPr>
  </w:style>
  <w:style w:type="paragraph" w:styleId="8">
    <w:name w:val="toc 3"/>
    <w:basedOn w:val="1"/>
    <w:next w:val="1"/>
    <w:autoRedefine/>
    <w:unhideWhenUsed/>
    <w:qFormat/>
    <w:uiPriority w:val="39"/>
    <w:pPr>
      <w:ind w:left="420"/>
      <w:jc w:val="left"/>
    </w:pPr>
    <w:rPr>
      <w:rFonts w:cstheme="minorHAnsi"/>
      <w:i/>
      <w:iCs/>
      <w:sz w:val="20"/>
      <w:szCs w:val="20"/>
    </w:rPr>
  </w:style>
  <w:style w:type="paragraph" w:styleId="9">
    <w:name w:val="Plain Text"/>
    <w:basedOn w:val="1"/>
    <w:link w:val="34"/>
    <w:qFormat/>
    <w:uiPriority w:val="0"/>
    <w:pPr>
      <w:spacing w:line="312" w:lineRule="auto"/>
      <w:ind w:firstLine="200" w:firstLineChars="200"/>
    </w:pPr>
    <w:rPr>
      <w:rFonts w:ascii="宋体" w:hAnsi="Courier New" w:eastAsia="宋体" w:cs="Courier New"/>
      <w:sz w:val="24"/>
      <w:szCs w:val="21"/>
    </w:rPr>
  </w:style>
  <w:style w:type="paragraph" w:styleId="10">
    <w:name w:val="toc 8"/>
    <w:basedOn w:val="1"/>
    <w:next w:val="1"/>
    <w:autoRedefine/>
    <w:unhideWhenUsed/>
    <w:qFormat/>
    <w:uiPriority w:val="39"/>
    <w:pPr>
      <w:ind w:left="1470"/>
      <w:jc w:val="left"/>
    </w:pPr>
    <w:rPr>
      <w:rFonts w:cstheme="minorHAnsi"/>
      <w:sz w:val="18"/>
      <w:szCs w:val="18"/>
    </w:rPr>
  </w:style>
  <w:style w:type="paragraph" w:styleId="11">
    <w:name w:val="Balloon Text"/>
    <w:basedOn w:val="1"/>
    <w:link w:val="3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nhideWhenUsed/>
    <w:qFormat/>
    <w:uiPriority w:val="39"/>
    <w:pPr>
      <w:tabs>
        <w:tab w:val="right" w:leader="dot" w:pos="8296"/>
      </w:tabs>
      <w:jc w:val="left"/>
    </w:pPr>
    <w:rPr>
      <w:rFonts w:cstheme="minorHAnsi"/>
      <w:b/>
      <w:bCs/>
      <w:caps/>
      <w:sz w:val="20"/>
      <w:szCs w:val="20"/>
    </w:rPr>
  </w:style>
  <w:style w:type="paragraph" w:styleId="15">
    <w:name w:val="toc 4"/>
    <w:basedOn w:val="1"/>
    <w:next w:val="1"/>
    <w:autoRedefine/>
    <w:unhideWhenUsed/>
    <w:qFormat/>
    <w:uiPriority w:val="39"/>
    <w:pPr>
      <w:ind w:left="630"/>
      <w:jc w:val="left"/>
    </w:pPr>
    <w:rPr>
      <w:rFonts w:cstheme="minorHAnsi"/>
      <w:sz w:val="18"/>
      <w:szCs w:val="18"/>
    </w:rPr>
  </w:style>
  <w:style w:type="paragraph" w:styleId="16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theme="minorHAnsi"/>
      <w:sz w:val="18"/>
      <w:szCs w:val="18"/>
    </w:rPr>
  </w:style>
  <w:style w:type="paragraph" w:styleId="17">
    <w:name w:val="Body Text Indent 3"/>
    <w:basedOn w:val="1"/>
    <w:link w:val="28"/>
    <w:semiHidden/>
    <w:qFormat/>
    <w:uiPriority w:val="0"/>
    <w:pPr>
      <w:ind w:firstLine="420" w:firstLineChars="200"/>
    </w:pPr>
    <w:rPr>
      <w:rFonts w:ascii="黑体" w:hAnsi="Times New Roman" w:cs="Times New Roman"/>
      <w:color w:val="0000FF"/>
      <w:szCs w:val="21"/>
    </w:rPr>
  </w:style>
  <w:style w:type="paragraph" w:styleId="18">
    <w:name w:val="toc 2"/>
    <w:basedOn w:val="1"/>
    <w:next w:val="1"/>
    <w:autoRedefine/>
    <w:unhideWhenUsed/>
    <w:qFormat/>
    <w:uiPriority w:val="39"/>
    <w:pPr>
      <w:tabs>
        <w:tab w:val="right" w:leader="dot" w:pos="8296"/>
      </w:tabs>
      <w:spacing w:line="312" w:lineRule="auto"/>
      <w:ind w:left="210"/>
      <w:jc w:val="left"/>
    </w:pPr>
    <w:rPr>
      <w:rFonts w:cstheme="minorHAnsi"/>
      <w:smallCaps/>
      <w:sz w:val="20"/>
      <w:szCs w:val="20"/>
    </w:rPr>
  </w:style>
  <w:style w:type="paragraph" w:styleId="19">
    <w:name w:val="toc 9"/>
    <w:basedOn w:val="1"/>
    <w:next w:val="1"/>
    <w:autoRedefine/>
    <w:unhideWhenUsed/>
    <w:qFormat/>
    <w:uiPriority w:val="39"/>
    <w:pPr>
      <w:ind w:left="1680"/>
      <w:jc w:val="left"/>
    </w:pPr>
    <w:rPr>
      <w:rFonts w:cstheme="minorHAnsi"/>
      <w:sz w:val="18"/>
      <w:szCs w:val="18"/>
    </w:rPr>
  </w:style>
  <w:style w:type="table" w:styleId="21">
    <w:name w:val="Table Grid"/>
    <w:basedOn w:val="2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4">
    <w:name w:val="页眉 字符"/>
    <w:basedOn w:val="22"/>
    <w:link w:val="13"/>
    <w:qFormat/>
    <w:uiPriority w:val="99"/>
    <w:rPr>
      <w:sz w:val="18"/>
      <w:szCs w:val="18"/>
    </w:rPr>
  </w:style>
  <w:style w:type="character" w:customStyle="1" w:styleId="25">
    <w:name w:val="页脚 字符"/>
    <w:basedOn w:val="22"/>
    <w:link w:val="12"/>
    <w:qFormat/>
    <w:uiPriority w:val="99"/>
    <w:rPr>
      <w:sz w:val="18"/>
      <w:szCs w:val="18"/>
    </w:rPr>
  </w:style>
  <w:style w:type="character" w:customStyle="1" w:styleId="26">
    <w:name w:val="标题 1 字符"/>
    <w:basedOn w:val="22"/>
    <w:link w:val="2"/>
    <w:qFormat/>
    <w:uiPriority w:val="0"/>
    <w:rPr>
      <w:rFonts w:ascii="Times New Roman" w:hAnsi="Times New Roman" w:eastAsia="黑体" w:cs="Times New Roman"/>
      <w:b/>
      <w:bCs/>
      <w:kern w:val="44"/>
      <w:sz w:val="36"/>
      <w:szCs w:val="44"/>
    </w:rPr>
  </w:style>
  <w:style w:type="character" w:customStyle="1" w:styleId="27">
    <w:name w:val="标题 2 字符"/>
    <w:basedOn w:val="22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28">
    <w:name w:val="正文文本缩进 3 字符"/>
    <w:basedOn w:val="22"/>
    <w:link w:val="17"/>
    <w:semiHidden/>
    <w:qFormat/>
    <w:uiPriority w:val="0"/>
    <w:rPr>
      <w:rFonts w:ascii="黑体" w:hAnsi="Times New Roman" w:eastAsia="黑体" w:cs="Times New Roman"/>
      <w:color w:val="0000FF"/>
      <w:szCs w:val="21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paragraph" w:styleId="30">
    <w:name w:val="No Spacing"/>
    <w:link w:val="32"/>
    <w:qFormat/>
    <w:uiPriority w:val="1"/>
    <w:pPr>
      <w:widowControl w:val="0"/>
      <w:jc w:val="both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customStyle="1" w:styleId="31">
    <w:name w:val="标题 3 字符"/>
    <w:basedOn w:val="22"/>
    <w:link w:val="4"/>
    <w:qFormat/>
    <w:uiPriority w:val="9"/>
    <w:rPr>
      <w:rFonts w:eastAsia="黑体"/>
      <w:b/>
      <w:bCs/>
      <w:sz w:val="32"/>
      <w:szCs w:val="32"/>
    </w:rPr>
  </w:style>
  <w:style w:type="character" w:customStyle="1" w:styleId="32">
    <w:name w:val="无间隔 字符"/>
    <w:basedOn w:val="22"/>
    <w:link w:val="30"/>
    <w:qFormat/>
    <w:uiPriority w:val="1"/>
    <w:rPr>
      <w:rFonts w:eastAsia="黑体"/>
    </w:rPr>
  </w:style>
  <w:style w:type="paragraph" w:customStyle="1" w:styleId="3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34">
    <w:name w:val="纯文本 字符"/>
    <w:basedOn w:val="22"/>
    <w:link w:val="9"/>
    <w:qFormat/>
    <w:uiPriority w:val="0"/>
    <w:rPr>
      <w:rFonts w:ascii="宋体" w:hAnsi="Courier New" w:eastAsia="宋体" w:cs="Courier New"/>
      <w:sz w:val="24"/>
      <w:szCs w:val="21"/>
    </w:rPr>
  </w:style>
  <w:style w:type="character" w:customStyle="1" w:styleId="35">
    <w:name w:val="批注框文本 字符"/>
    <w:basedOn w:val="22"/>
    <w:link w:val="11"/>
    <w:semiHidden/>
    <w:qFormat/>
    <w:uiPriority w:val="99"/>
    <w:rPr>
      <w:rFonts w:eastAsia="黑体"/>
      <w:sz w:val="18"/>
      <w:szCs w:val="18"/>
    </w:rPr>
  </w:style>
  <w:style w:type="character" w:customStyle="1" w:styleId="36">
    <w:name w:val="文档结构图 字符"/>
    <w:basedOn w:val="22"/>
    <w:link w:val="6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88F18-F70D-40CD-B4D1-FE2BF819E8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2035</Words>
  <Characters>2193</Characters>
  <Lines>21</Lines>
  <Paragraphs>5</Paragraphs>
  <TotalTime>0</TotalTime>
  <ScaleCrop>false</ScaleCrop>
  <LinksUpToDate>false</LinksUpToDate>
  <CharactersWithSpaces>2249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2020-11-24T06:31:00Z</dcterms:created>
  <dc:creator>xin guan</dc:creator>
  <cp:lastModifiedBy>...管西安</cp:lastModifiedBy>
  <cp:lastPrinted>2021-01-29T04:36:00Z</cp:lastPrinted>
  <dcterms:modified xsi:type="dcterms:W3CDTF">2025-06-03T05:31:37Z</dcterms:modified>
  <dc:subject>依兰县东升风电场</dc:subject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eyJoZGlkIjoiMDM4ZGJkNWVkMzFiZmZkMWUyYTZjNWU0NTkzMTY0MmUiLCJ1c2VySWQiOiIyODE1MTY0NDMifQ==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76C3D2D81B6D43B8A0A7D3D35D3386F6_12</vt:lpwstr>
  </property>
</Properties>
</file>