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sdt>
      <w:sdtPr>
        <w:id w:val="1652257564"/>
        <w:docPartObj>
          <w:docPartGallery w:val="autotext"/>
        </w:docPartObj>
      </w:sdtPr>
      <w:sdtEndPr>
        <w:rPr>
          <w:rFonts w:ascii="黑体" w:hAnsi="黑体"/>
          <w:sz w:val="44"/>
          <w:szCs w:val="44"/>
        </w:rPr>
      </w:sdtEndPr>
      <w:sdtContent>
        <w:p w14:paraId="193E4CAF"/>
        <w:sdt>
          <w:sdtPr>
            <w:rPr>
              <w:sz w:val="28"/>
            </w:rPr>
            <w:id w:val="197750963"/>
            <w:docPartObj>
              <w:docPartGallery w:val="autotext"/>
            </w:docPartObj>
          </w:sdtPr>
          <w:sdtEndPr>
            <w:rPr>
              <w:rFonts w:ascii="黑体" w:hAnsi="黑体"/>
              <w:sz w:val="44"/>
              <w:szCs w:val="44"/>
            </w:rPr>
          </w:sdtEndPr>
          <w:sdtContent>
            <w:p w14:paraId="061098A4">
              <w:pPr>
                <w:pStyle w:val="30"/>
              </w:pPr>
            </w:p>
            <w:p w14:paraId="2FB88E69">
              <w:pPr>
                <w:rPr>
                  <w:rFonts w:ascii="黑体" w:hAnsi="黑体"/>
                  <w:sz w:val="72"/>
                  <w:szCs w:val="44"/>
                </w:rPr>
                <w:sectPr>
                  <w:headerReference r:id="rId4" w:type="first"/>
                  <w:footerReference r:id="rId5" w:type="default"/>
                  <w:headerReference r:id="rId3" w:type="even"/>
                  <w:footerReference r:id="rId6" w:type="even"/>
                  <w:type w:val="nextColumn"/>
                  <w:pgSz w:w="23814" w:h="16840"/>
                  <w:pgMar w:top="1440" w:right="1800" w:bottom="1440" w:left="1800" w:header="851" w:footer="992" w:gutter="0"/>
                  <w:pgNumType w:start="0"/>
                  <w:cols w:space="425" w:num="2"/>
                  <w:titlePg/>
                  <w:docGrid w:type="lines" w:linePitch="312" w:charSpace="0"/>
                </w:sectPr>
              </w:pPr>
            </w:p>
            <w:p w14:paraId="2EE0F109">
              <w:pPr>
                <w:rPr>
                  <w:rFonts w:ascii="黑体" w:hAnsi="黑体"/>
                  <w:sz w:val="72"/>
                  <w:szCs w:val="44"/>
                </w:rPr>
              </w:pPr>
              <w:bookmarkStart w:id="19" w:name="_GoBack"/>
              <w:bookmarkEnd w:id="19"/>
            </w:p>
            <w:p w14:paraId="37DD604C">
              <w:pPr>
                <w:rPr>
                  <w:rFonts w:ascii="黑体" w:hAnsi="黑体"/>
                  <w:sz w:val="72"/>
                  <w:szCs w:val="44"/>
                </w:rPr>
              </w:pPr>
            </w:p>
            <w:p w14:paraId="767CEF89">
              <w:pPr>
                <w:rPr>
                  <w:rFonts w:ascii="黑体" w:hAnsi="黑体"/>
                  <w:sz w:val="72"/>
                  <w:szCs w:val="44"/>
                </w:rPr>
              </w:pPr>
            </w:p>
            <w:p w14:paraId="04F7DF97">
              <w:pPr>
                <w:rPr>
                  <w:rFonts w:ascii="黑体" w:hAnsi="黑体"/>
                  <w:sz w:val="72"/>
                  <w:szCs w:val="44"/>
                </w:rPr>
              </w:pPr>
            </w:p>
            <w:p w14:paraId="5C070C6B">
              <w:pPr>
                <w:jc w:val="center"/>
                <w:rPr>
                  <w:rFonts w:ascii="黑体" w:hAnsi="宋体" w:eastAsia="黑体" w:cs="黑体"/>
                  <w:color w:val="000000"/>
                  <w:kern w:val="0"/>
                  <w:sz w:val="57"/>
                  <w:szCs w:val="57"/>
                  <w:lang w:val="en-US" w:eastAsia="zh-CN" w:bidi="ar"/>
                </w:rPr>
              </w:pPr>
              <w:r>
                <w:rPr>
                  <w:rFonts w:ascii="黑体" w:hAnsi="宋体" w:eastAsia="黑体" w:cs="黑体"/>
                  <w:color w:val="000000"/>
                  <w:kern w:val="0"/>
                  <w:sz w:val="57"/>
                  <w:szCs w:val="57"/>
                  <w:lang w:val="en-US" w:eastAsia="zh-CN" w:bidi="ar"/>
                </w:rPr>
                <w:t>大箐山县朗乡镇101011-02-1202地块控制性详细规划</w:t>
              </w:r>
            </w:p>
            <w:p w14:paraId="2305EBB9">
              <w:pPr>
                <w:jc w:val="center"/>
                <w:rPr>
                  <w:rFonts w:ascii="黑体" w:hAnsi="宋体" w:eastAsia="黑体" w:cs="黑体"/>
                  <w:color w:val="000000"/>
                  <w:kern w:val="0"/>
                  <w:sz w:val="57"/>
                  <w:szCs w:val="57"/>
                  <w:lang w:val="en-US" w:eastAsia="zh-CN" w:bidi="ar"/>
                </w:rPr>
              </w:pPr>
            </w:p>
            <w:p w14:paraId="15745EEF">
              <w:pPr>
                <w:jc w:val="center"/>
                <w:rPr>
                  <w:rFonts w:ascii="黑体" w:hAnsi="黑体"/>
                  <w:sz w:val="72"/>
                  <w:szCs w:val="44"/>
                </w:rPr>
              </w:pPr>
              <w:r>
                <w:rPr>
                  <w:rFonts w:hint="eastAsia" w:ascii="黑体" w:hAnsi="黑体"/>
                  <w:sz w:val="72"/>
                  <w:szCs w:val="44"/>
                </w:rPr>
                <w:t>文本</w:t>
              </w:r>
            </w:p>
            <w:p w14:paraId="09800D45">
              <w:pPr>
                <w:jc w:val="center"/>
                <w:rPr>
                  <w:rFonts w:ascii="黑体" w:hAnsi="黑体"/>
                  <w:sz w:val="72"/>
                  <w:szCs w:val="44"/>
                </w:rPr>
              </w:pPr>
            </w:p>
            <w:p w14:paraId="1127F146">
              <w:pPr>
                <w:jc w:val="center"/>
                <w:rPr>
                  <w:rFonts w:ascii="黑体" w:hAnsi="黑体"/>
                  <w:sz w:val="72"/>
                  <w:szCs w:val="44"/>
                </w:rPr>
              </w:pPr>
            </w:p>
            <w:p w14:paraId="070788B0">
              <w:pPr>
                <w:jc w:val="center"/>
                <w:rPr>
                  <w:rFonts w:ascii="黑体" w:hAnsi="黑体"/>
                  <w:sz w:val="72"/>
                  <w:szCs w:val="44"/>
                </w:rPr>
              </w:pPr>
            </w:p>
            <w:p w14:paraId="28A077F9">
              <w:pPr>
                <w:jc w:val="center"/>
                <w:rPr>
                  <w:rFonts w:ascii="黑体" w:hAnsi="黑体"/>
                  <w:sz w:val="72"/>
                  <w:szCs w:val="44"/>
                </w:rPr>
              </w:pPr>
            </w:p>
            <w:p w14:paraId="10BA1C16">
              <w:pPr>
                <w:jc w:val="center"/>
                <w:rPr>
                  <w:rFonts w:ascii="黑体" w:hAnsi="黑体"/>
                  <w:sz w:val="72"/>
                  <w:szCs w:val="44"/>
                </w:rPr>
              </w:pPr>
            </w:p>
            <w:p w14:paraId="6BA49688">
              <w:pPr>
                <w:jc w:val="center"/>
                <w:rPr>
                  <w:rFonts w:ascii="黑体" w:hAnsi="黑体"/>
                  <w:sz w:val="72"/>
                  <w:szCs w:val="44"/>
                </w:rPr>
              </w:pPr>
            </w:p>
            <w:p w14:paraId="3AB741BC">
              <w:pPr>
                <w:jc w:val="center"/>
                <w:rPr>
                  <w:rFonts w:ascii="黑体" w:hAnsi="黑体"/>
                  <w:sz w:val="72"/>
                  <w:szCs w:val="44"/>
                </w:rPr>
              </w:pPr>
            </w:p>
            <w:p w14:paraId="72B3D348">
              <w:pPr>
                <w:jc w:val="center"/>
                <w:rPr>
                  <w:rFonts w:ascii="黑体" w:hAnsi="黑体"/>
                  <w:sz w:val="72"/>
                  <w:szCs w:val="44"/>
                </w:rPr>
                <w:sectPr>
                  <w:footerReference r:id="rId8" w:type="first"/>
                  <w:footerReference r:id="rId7" w:type="default"/>
                  <w:type w:val="continuous"/>
                  <w:pgSz w:w="23814" w:h="16840"/>
                  <w:pgMar w:top="1440" w:right="1800" w:bottom="1440" w:left="1800" w:header="851" w:footer="992" w:gutter="0"/>
                  <w:pgNumType w:start="0"/>
                  <w:cols w:space="425" w:num="1"/>
                  <w:docGrid w:type="lines" w:linePitch="312" w:charSpace="0"/>
                </w:sectPr>
              </w:pPr>
            </w:p>
            <w:p w14:paraId="7E822525">
              <w:pPr>
                <w:jc w:val="center"/>
                <w:rPr>
                  <w:rFonts w:ascii="黑体" w:hAnsi="黑体"/>
                  <w:sz w:val="72"/>
                  <w:szCs w:val="44"/>
                </w:rPr>
              </w:pPr>
            </w:p>
            <w:p w14:paraId="38F4F0B4">
              <w:pPr>
                <w:jc w:val="center"/>
                <w:rPr>
                  <w:rFonts w:ascii="黑体" w:hAnsi="黑体"/>
                  <w:sz w:val="72"/>
                  <w:szCs w:val="44"/>
                </w:rPr>
              </w:pPr>
            </w:p>
          </w:sdtContent>
        </w:sdt>
        <w:p w14:paraId="5D14385B">
          <w:pPr>
            <w:widowControl/>
            <w:jc w:val="left"/>
            <w:rPr>
              <w:rFonts w:ascii="黑体" w:hAnsi="黑体"/>
              <w:sz w:val="44"/>
              <w:szCs w:val="44"/>
            </w:rPr>
            <w:sectPr>
              <w:pgSz w:w="23814" w:h="16840"/>
              <w:pgMar w:top="1440" w:right="1800" w:bottom="1440" w:left="1800" w:header="851" w:footer="992" w:gutter="0"/>
              <w:pgNumType w:start="1"/>
              <w:cols w:space="425" w:num="1"/>
              <w:titlePg/>
              <w:docGrid w:type="lines" w:linePitch="312" w:charSpace="0"/>
            </w:sectPr>
          </w:pPr>
        </w:p>
        <w:p w14:paraId="3A71A54E">
          <w:pPr>
            <w:widowControl/>
            <w:jc w:val="left"/>
            <w:rPr>
              <w:rFonts w:ascii="黑体" w:hAnsi="黑体"/>
              <w:sz w:val="44"/>
              <w:szCs w:val="44"/>
            </w:rPr>
          </w:pPr>
        </w:p>
      </w:sdtContent>
    </w:sdt>
    <w:p w14:paraId="34DF734F">
      <w:pPr>
        <w:widowControl/>
        <w:jc w:val="center"/>
        <w:rPr>
          <w:rFonts w:ascii="黑体" w:hAnsi="黑体"/>
          <w:sz w:val="30"/>
          <w:szCs w:val="30"/>
        </w:rPr>
      </w:pPr>
      <w:r>
        <w:rPr>
          <w:rFonts w:hint="eastAsia" w:ascii="黑体" w:hAnsi="黑体"/>
          <w:sz w:val="30"/>
          <w:szCs w:val="30"/>
        </w:rPr>
        <w:t xml:space="preserve">目 </w:t>
      </w:r>
      <w:r>
        <w:rPr>
          <w:rFonts w:ascii="黑体" w:hAnsi="黑体"/>
          <w:sz w:val="30"/>
          <w:szCs w:val="30"/>
        </w:rPr>
        <w:t xml:space="preserve">   </w:t>
      </w:r>
      <w:r>
        <w:rPr>
          <w:rFonts w:hint="eastAsia" w:ascii="黑体" w:hAnsi="黑体"/>
          <w:sz w:val="30"/>
          <w:szCs w:val="30"/>
        </w:rPr>
        <w:t>录</w:t>
      </w:r>
    </w:p>
    <w:p w14:paraId="770D78A1">
      <w:pPr>
        <w:pStyle w:val="14"/>
        <w:tabs>
          <w:tab w:val="right" w:leader="dot" w:pos="9894"/>
          <w:tab w:val="clear" w:pos="8296"/>
        </w:tabs>
      </w:pPr>
      <w:r>
        <w:rPr>
          <w:rStyle w:val="23"/>
          <w:rFonts w:ascii="宋体" w:hAnsi="宋体" w:eastAsia="宋体"/>
          <w:b w:val="0"/>
          <w:sz w:val="28"/>
          <w:szCs w:val="28"/>
        </w:rPr>
        <w:fldChar w:fldCharType="begin"/>
      </w:r>
      <w:r>
        <w:rPr>
          <w:rStyle w:val="23"/>
          <w:rFonts w:hint="eastAsia" w:ascii="宋体" w:hAnsi="宋体" w:eastAsia="宋体"/>
          <w:b w:val="0"/>
          <w:sz w:val="28"/>
          <w:szCs w:val="28"/>
        </w:rPr>
        <w:instrText xml:space="preserve">TOC \o "1-2" \h \z \u</w:instrText>
      </w:r>
      <w:r>
        <w:rPr>
          <w:rStyle w:val="23"/>
          <w:rFonts w:ascii="宋体" w:hAnsi="宋体" w:eastAsia="宋体"/>
          <w:b w:val="0"/>
          <w:sz w:val="28"/>
          <w:szCs w:val="28"/>
        </w:rPr>
        <w:fldChar w:fldCharType="separate"/>
      </w:r>
      <w:r>
        <w:rPr>
          <w:rFonts w:ascii="宋体" w:hAnsi="宋体" w:eastAsia="宋体"/>
          <w:szCs w:val="28"/>
        </w:rPr>
        <w:fldChar w:fldCharType="begin"/>
      </w:r>
      <w:r>
        <w:rPr>
          <w:rFonts w:ascii="宋体" w:hAnsi="宋体" w:eastAsia="宋体"/>
          <w:szCs w:val="28"/>
        </w:rPr>
        <w:instrText xml:space="preserve"> HYPERLINK \l _Toc8234 </w:instrText>
      </w:r>
      <w:r>
        <w:rPr>
          <w:rFonts w:ascii="宋体" w:hAnsi="宋体" w:eastAsia="宋体"/>
          <w:szCs w:val="28"/>
        </w:rPr>
        <w:fldChar w:fldCharType="separate"/>
      </w:r>
      <w:r>
        <w:rPr>
          <w:rFonts w:hint="eastAsia"/>
        </w:rPr>
        <w:t>第一章 总则</w:t>
      </w:r>
      <w:r>
        <w:tab/>
      </w:r>
      <w:r>
        <w:fldChar w:fldCharType="begin"/>
      </w:r>
      <w:r>
        <w:instrText xml:space="preserve"> PAGEREF _Toc8234 \h </w:instrText>
      </w:r>
      <w:r>
        <w:fldChar w:fldCharType="separate"/>
      </w:r>
      <w:r>
        <w:t>1</w:t>
      </w:r>
      <w:r>
        <w:fldChar w:fldCharType="end"/>
      </w:r>
      <w:r>
        <w:rPr>
          <w:rFonts w:ascii="宋体" w:hAnsi="宋体" w:eastAsia="宋体"/>
          <w:szCs w:val="28"/>
        </w:rPr>
        <w:fldChar w:fldCharType="end"/>
      </w:r>
    </w:p>
    <w:p w14:paraId="5BF4BD78">
      <w:pPr>
        <w:pStyle w:val="14"/>
        <w:tabs>
          <w:tab w:val="right" w:leader="dot" w:pos="9894"/>
          <w:tab w:val="clear" w:pos="8296"/>
        </w:tabs>
      </w:pPr>
      <w:r>
        <w:rPr>
          <w:rFonts w:ascii="宋体" w:hAnsi="宋体" w:eastAsia="宋体"/>
          <w:szCs w:val="28"/>
        </w:rPr>
        <w:fldChar w:fldCharType="begin"/>
      </w:r>
      <w:r>
        <w:rPr>
          <w:rFonts w:ascii="宋体" w:hAnsi="宋体" w:eastAsia="宋体"/>
          <w:szCs w:val="28"/>
        </w:rPr>
        <w:instrText xml:space="preserve"> HYPERLINK \l _Toc19722 </w:instrText>
      </w:r>
      <w:r>
        <w:rPr>
          <w:rFonts w:ascii="宋体" w:hAnsi="宋体" w:eastAsia="宋体"/>
          <w:szCs w:val="28"/>
        </w:rPr>
        <w:fldChar w:fldCharType="separate"/>
      </w:r>
      <w:r>
        <w:rPr>
          <w:rFonts w:hint="eastAsia"/>
        </w:rPr>
        <w:t>第二章 土地</w:t>
      </w:r>
      <w:r>
        <w:t>使用与用地控制</w:t>
      </w:r>
      <w:r>
        <w:tab/>
      </w:r>
      <w:r>
        <w:fldChar w:fldCharType="begin"/>
      </w:r>
      <w:r>
        <w:instrText xml:space="preserve"> PAGEREF _Toc19722 \h </w:instrText>
      </w:r>
      <w:r>
        <w:fldChar w:fldCharType="separate"/>
      </w:r>
      <w:r>
        <w:t>2</w:t>
      </w:r>
      <w:r>
        <w:fldChar w:fldCharType="end"/>
      </w:r>
      <w:r>
        <w:rPr>
          <w:rFonts w:ascii="宋体" w:hAnsi="宋体" w:eastAsia="宋体"/>
          <w:szCs w:val="28"/>
        </w:rPr>
        <w:fldChar w:fldCharType="end"/>
      </w:r>
    </w:p>
    <w:p w14:paraId="0E9B2DBB">
      <w:pPr>
        <w:pStyle w:val="14"/>
        <w:tabs>
          <w:tab w:val="right" w:leader="dot" w:pos="9894"/>
          <w:tab w:val="clear" w:pos="8296"/>
        </w:tabs>
      </w:pPr>
      <w:r>
        <w:rPr>
          <w:rFonts w:ascii="宋体" w:hAnsi="宋体" w:eastAsia="宋体"/>
          <w:szCs w:val="28"/>
        </w:rPr>
        <w:fldChar w:fldCharType="begin"/>
      </w:r>
      <w:r>
        <w:rPr>
          <w:rFonts w:ascii="宋体" w:hAnsi="宋体" w:eastAsia="宋体"/>
          <w:szCs w:val="28"/>
        </w:rPr>
        <w:instrText xml:space="preserve"> HYPERLINK \l _Toc9506 </w:instrText>
      </w:r>
      <w:r>
        <w:rPr>
          <w:rFonts w:ascii="宋体" w:hAnsi="宋体" w:eastAsia="宋体"/>
          <w:szCs w:val="28"/>
        </w:rPr>
        <w:fldChar w:fldCharType="separate"/>
      </w:r>
      <w:r>
        <w:rPr>
          <w:rFonts w:hint="eastAsia"/>
        </w:rPr>
        <w:t>第</w:t>
      </w:r>
      <w:r>
        <w:t>三</w:t>
      </w:r>
      <w:r>
        <w:rPr>
          <w:rFonts w:hint="eastAsia"/>
        </w:rPr>
        <w:t>章 土地</w:t>
      </w:r>
      <w:r>
        <w:t>使用强度控制</w:t>
      </w:r>
      <w:r>
        <w:tab/>
      </w:r>
      <w:r>
        <w:fldChar w:fldCharType="begin"/>
      </w:r>
      <w:r>
        <w:instrText xml:space="preserve"> PAGEREF _Toc9506 \h </w:instrText>
      </w:r>
      <w:r>
        <w:fldChar w:fldCharType="separate"/>
      </w:r>
      <w:r>
        <w:t>2</w:t>
      </w:r>
      <w:r>
        <w:fldChar w:fldCharType="end"/>
      </w:r>
      <w:r>
        <w:rPr>
          <w:rFonts w:ascii="宋体" w:hAnsi="宋体" w:eastAsia="宋体"/>
          <w:szCs w:val="28"/>
        </w:rPr>
        <w:fldChar w:fldCharType="end"/>
      </w:r>
    </w:p>
    <w:p w14:paraId="36538441">
      <w:pPr>
        <w:pStyle w:val="14"/>
        <w:tabs>
          <w:tab w:val="right" w:leader="dot" w:pos="9894"/>
          <w:tab w:val="clear" w:pos="8296"/>
        </w:tabs>
      </w:pPr>
      <w:r>
        <w:rPr>
          <w:rFonts w:ascii="宋体" w:hAnsi="宋体" w:eastAsia="宋体"/>
          <w:szCs w:val="28"/>
        </w:rPr>
        <w:fldChar w:fldCharType="begin"/>
      </w:r>
      <w:r>
        <w:rPr>
          <w:rFonts w:ascii="宋体" w:hAnsi="宋体" w:eastAsia="宋体"/>
          <w:szCs w:val="28"/>
        </w:rPr>
        <w:instrText xml:space="preserve"> HYPERLINK \l _Toc21410 </w:instrText>
      </w:r>
      <w:r>
        <w:rPr>
          <w:rFonts w:ascii="宋体" w:hAnsi="宋体" w:eastAsia="宋体"/>
          <w:szCs w:val="28"/>
        </w:rPr>
        <w:fldChar w:fldCharType="separate"/>
      </w:r>
      <w:r>
        <w:rPr>
          <w:rFonts w:hint="eastAsia"/>
        </w:rPr>
        <w:t>第四</w:t>
      </w:r>
      <w:r>
        <w:t>章</w:t>
      </w:r>
      <w:r>
        <w:rPr>
          <w:rFonts w:hint="eastAsia"/>
        </w:rPr>
        <w:t xml:space="preserve"> 建筑</w:t>
      </w:r>
      <w:r>
        <w:t>物控制</w:t>
      </w:r>
      <w:r>
        <w:tab/>
      </w:r>
      <w:r>
        <w:fldChar w:fldCharType="begin"/>
      </w:r>
      <w:r>
        <w:instrText xml:space="preserve"> PAGEREF _Toc21410 \h </w:instrText>
      </w:r>
      <w:r>
        <w:fldChar w:fldCharType="separate"/>
      </w:r>
      <w:r>
        <w:t>2</w:t>
      </w:r>
      <w:r>
        <w:fldChar w:fldCharType="end"/>
      </w:r>
      <w:r>
        <w:rPr>
          <w:rFonts w:ascii="宋体" w:hAnsi="宋体" w:eastAsia="宋体"/>
          <w:szCs w:val="28"/>
        </w:rPr>
        <w:fldChar w:fldCharType="end"/>
      </w:r>
    </w:p>
    <w:p w14:paraId="67AD6F79">
      <w:pPr>
        <w:pStyle w:val="14"/>
        <w:tabs>
          <w:tab w:val="right" w:leader="dot" w:pos="9894"/>
          <w:tab w:val="clear" w:pos="8296"/>
        </w:tabs>
      </w:pPr>
      <w:r>
        <w:rPr>
          <w:rFonts w:ascii="宋体" w:hAnsi="宋体" w:eastAsia="宋体"/>
          <w:szCs w:val="28"/>
        </w:rPr>
        <w:fldChar w:fldCharType="begin"/>
      </w:r>
      <w:r>
        <w:rPr>
          <w:rFonts w:ascii="宋体" w:hAnsi="宋体" w:eastAsia="宋体"/>
          <w:szCs w:val="28"/>
        </w:rPr>
        <w:instrText xml:space="preserve"> HYPERLINK \l _Toc27386 </w:instrText>
      </w:r>
      <w:r>
        <w:rPr>
          <w:rFonts w:ascii="宋体" w:hAnsi="宋体" w:eastAsia="宋体"/>
          <w:szCs w:val="28"/>
        </w:rPr>
        <w:fldChar w:fldCharType="separate"/>
      </w:r>
      <w:r>
        <w:rPr>
          <w:rFonts w:hint="eastAsia"/>
        </w:rPr>
        <w:t>第五</w:t>
      </w:r>
      <w:r>
        <w:t>章</w:t>
      </w:r>
      <w:r>
        <w:rPr>
          <w:rFonts w:hint="eastAsia"/>
        </w:rPr>
        <w:t xml:space="preserve"> 道路</w:t>
      </w:r>
      <w:r>
        <w:t>交通规划</w:t>
      </w:r>
      <w:r>
        <w:tab/>
      </w:r>
      <w:r>
        <w:fldChar w:fldCharType="begin"/>
      </w:r>
      <w:r>
        <w:instrText xml:space="preserve"> PAGEREF _Toc27386 \h </w:instrText>
      </w:r>
      <w:r>
        <w:fldChar w:fldCharType="separate"/>
      </w:r>
      <w:r>
        <w:t>2</w:t>
      </w:r>
      <w:r>
        <w:fldChar w:fldCharType="end"/>
      </w:r>
      <w:r>
        <w:rPr>
          <w:rFonts w:ascii="宋体" w:hAnsi="宋体" w:eastAsia="宋体"/>
          <w:szCs w:val="28"/>
        </w:rPr>
        <w:fldChar w:fldCharType="end"/>
      </w:r>
    </w:p>
    <w:p w14:paraId="5E303DFE">
      <w:pPr>
        <w:pStyle w:val="14"/>
        <w:tabs>
          <w:tab w:val="right" w:leader="dot" w:pos="9894"/>
          <w:tab w:val="clear" w:pos="8296"/>
        </w:tabs>
      </w:pPr>
      <w:r>
        <w:rPr>
          <w:rFonts w:ascii="宋体" w:hAnsi="宋体" w:eastAsia="宋体"/>
          <w:szCs w:val="28"/>
        </w:rPr>
        <w:fldChar w:fldCharType="begin"/>
      </w:r>
      <w:r>
        <w:rPr>
          <w:rFonts w:ascii="宋体" w:hAnsi="宋体" w:eastAsia="宋体"/>
          <w:szCs w:val="28"/>
        </w:rPr>
        <w:instrText xml:space="preserve"> HYPERLINK \l _Toc9945 </w:instrText>
      </w:r>
      <w:r>
        <w:rPr>
          <w:rFonts w:ascii="宋体" w:hAnsi="宋体" w:eastAsia="宋体"/>
          <w:szCs w:val="28"/>
        </w:rPr>
        <w:fldChar w:fldCharType="separate"/>
      </w:r>
      <w:r>
        <w:rPr>
          <w:rFonts w:hint="eastAsia"/>
        </w:rPr>
        <w:t>第六章 防灾工程规划</w:t>
      </w:r>
      <w:r>
        <w:tab/>
      </w:r>
      <w:r>
        <w:fldChar w:fldCharType="begin"/>
      </w:r>
      <w:r>
        <w:instrText xml:space="preserve"> PAGEREF _Toc9945 \h </w:instrText>
      </w:r>
      <w:r>
        <w:fldChar w:fldCharType="separate"/>
      </w:r>
      <w:r>
        <w:t>2</w:t>
      </w:r>
      <w:r>
        <w:fldChar w:fldCharType="end"/>
      </w:r>
      <w:r>
        <w:rPr>
          <w:rFonts w:ascii="宋体" w:hAnsi="宋体" w:eastAsia="宋体"/>
          <w:szCs w:val="28"/>
        </w:rPr>
        <w:fldChar w:fldCharType="end"/>
      </w:r>
    </w:p>
    <w:p w14:paraId="0680EFAA">
      <w:pPr>
        <w:pStyle w:val="14"/>
        <w:tabs>
          <w:tab w:val="right" w:leader="dot" w:pos="9894"/>
          <w:tab w:val="clear" w:pos="8296"/>
        </w:tabs>
      </w:pPr>
      <w:r>
        <w:rPr>
          <w:rFonts w:ascii="宋体" w:hAnsi="宋体" w:eastAsia="宋体"/>
          <w:szCs w:val="28"/>
        </w:rPr>
        <w:fldChar w:fldCharType="begin"/>
      </w:r>
      <w:r>
        <w:rPr>
          <w:rFonts w:ascii="宋体" w:hAnsi="宋体" w:eastAsia="宋体"/>
          <w:szCs w:val="28"/>
        </w:rPr>
        <w:instrText xml:space="preserve"> HYPERLINK \l _Toc28212 </w:instrText>
      </w:r>
      <w:r>
        <w:rPr>
          <w:rFonts w:ascii="宋体" w:hAnsi="宋体" w:eastAsia="宋体"/>
          <w:szCs w:val="28"/>
        </w:rPr>
        <w:fldChar w:fldCharType="separate"/>
      </w:r>
      <w:r>
        <w:rPr>
          <w:rFonts w:hint="eastAsia"/>
        </w:rPr>
        <w:t>第七</w:t>
      </w:r>
      <w:r>
        <w:t>章</w:t>
      </w:r>
      <w:r>
        <w:rPr>
          <w:rFonts w:hint="eastAsia"/>
        </w:rPr>
        <w:t xml:space="preserve"> 附则</w:t>
      </w:r>
      <w:r>
        <w:tab/>
      </w:r>
      <w:r>
        <w:fldChar w:fldCharType="begin"/>
      </w:r>
      <w:r>
        <w:instrText xml:space="preserve"> PAGEREF _Toc28212 \h </w:instrText>
      </w:r>
      <w:r>
        <w:fldChar w:fldCharType="separate"/>
      </w:r>
      <w:r>
        <w:t>2</w:t>
      </w:r>
      <w:r>
        <w:fldChar w:fldCharType="end"/>
      </w:r>
      <w:r>
        <w:rPr>
          <w:rFonts w:ascii="宋体" w:hAnsi="宋体" w:eastAsia="宋体"/>
          <w:szCs w:val="28"/>
        </w:rPr>
        <w:fldChar w:fldCharType="end"/>
      </w:r>
    </w:p>
    <w:p w14:paraId="2F9135EB">
      <w:pPr>
        <w:pStyle w:val="14"/>
        <w:tabs>
          <w:tab w:val="right" w:leader="dot" w:pos="9894"/>
          <w:tab w:val="clear" w:pos="8296"/>
        </w:tabs>
      </w:pPr>
      <w:r>
        <w:rPr>
          <w:rFonts w:ascii="宋体" w:hAnsi="宋体" w:eastAsia="宋体"/>
          <w:szCs w:val="28"/>
        </w:rPr>
        <w:fldChar w:fldCharType="begin"/>
      </w:r>
      <w:r>
        <w:rPr>
          <w:rFonts w:ascii="宋体" w:hAnsi="宋体" w:eastAsia="宋体"/>
          <w:szCs w:val="28"/>
        </w:rPr>
        <w:instrText xml:space="preserve"> HYPERLINK \l _Toc25902 </w:instrText>
      </w:r>
      <w:r>
        <w:rPr>
          <w:rFonts w:ascii="宋体" w:hAnsi="宋体" w:eastAsia="宋体"/>
          <w:szCs w:val="28"/>
        </w:rPr>
        <w:fldChar w:fldCharType="separate"/>
      </w:r>
      <w:r>
        <w:rPr>
          <w:rFonts w:hint="eastAsia"/>
        </w:rPr>
        <w:t>附 表</w:t>
      </w:r>
      <w:r>
        <w:tab/>
      </w:r>
      <w:r>
        <w:fldChar w:fldCharType="begin"/>
      </w:r>
      <w:r>
        <w:instrText xml:space="preserve"> PAGEREF _Toc25902 \h </w:instrText>
      </w:r>
      <w:r>
        <w:fldChar w:fldCharType="separate"/>
      </w:r>
      <w:r>
        <w:t>3</w:t>
      </w:r>
      <w:r>
        <w:fldChar w:fldCharType="end"/>
      </w:r>
      <w:r>
        <w:rPr>
          <w:rFonts w:ascii="宋体" w:hAnsi="宋体" w:eastAsia="宋体"/>
          <w:szCs w:val="28"/>
        </w:rPr>
        <w:fldChar w:fldCharType="end"/>
      </w:r>
    </w:p>
    <w:p w14:paraId="537CA2A8">
      <w:pPr>
        <w:pStyle w:val="14"/>
        <w:spacing w:before="120" w:after="120" w:line="360" w:lineRule="auto"/>
        <w:ind w:firstLine="402" w:firstLineChars="200"/>
        <w:jc w:val="center"/>
        <w:rPr>
          <w:rFonts w:ascii="黑体" w:hAnsi="黑体"/>
          <w:sz w:val="36"/>
          <w:szCs w:val="44"/>
        </w:rPr>
        <w:sectPr>
          <w:type w:val="continuous"/>
          <w:pgSz w:w="23814" w:h="16840"/>
          <w:pgMar w:top="1440" w:right="1800" w:bottom="1440" w:left="1800" w:header="851" w:footer="992" w:gutter="0"/>
          <w:pgNumType w:start="0"/>
          <w:cols w:space="425" w:num="2"/>
          <w:titlePg/>
          <w:docGrid w:type="lines" w:linePitch="312" w:charSpace="0"/>
        </w:sectPr>
      </w:pPr>
      <w:r>
        <w:rPr>
          <w:rFonts w:ascii="宋体" w:hAnsi="宋体" w:eastAsia="宋体"/>
          <w:szCs w:val="28"/>
        </w:rPr>
        <w:fldChar w:fldCharType="end"/>
      </w:r>
      <w:bookmarkStart w:id="0" w:name="_Toc459648843"/>
      <w:bookmarkStart w:id="1" w:name="_Toc459648955"/>
    </w:p>
    <w:bookmarkEnd w:id="0"/>
    <w:bookmarkEnd w:id="1"/>
    <w:p w14:paraId="0DCA17EA">
      <w:pPr>
        <w:pStyle w:val="2"/>
        <w:spacing w:before="120" w:after="120"/>
        <w:ind w:firstLine="723"/>
      </w:pPr>
      <w:bookmarkStart w:id="2" w:name="_Toc462414907"/>
      <w:bookmarkStart w:id="3" w:name="_Toc8234"/>
      <w:r>
        <w:rPr>
          <w:rFonts w:hint="eastAsia"/>
        </w:rPr>
        <w:t>第一章 总则</w:t>
      </w:r>
      <w:bookmarkEnd w:id="2"/>
      <w:bookmarkEnd w:id="3"/>
    </w:p>
    <w:p w14:paraId="1D04330B">
      <w:pPr>
        <w:spacing w:line="360" w:lineRule="auto"/>
        <w:jc w:val="left"/>
        <w:rPr>
          <w:rFonts w:ascii="宋体" w:hAnsi="宋体" w:eastAsia="宋体" w:cs="Times New Roman"/>
          <w:sz w:val="28"/>
          <w:szCs w:val="40"/>
        </w:rPr>
      </w:pPr>
      <w:r>
        <w:rPr>
          <w:rFonts w:hint="eastAsia" w:ascii="黑体" w:hAnsi="黑体" w:cs="Times New Roman"/>
          <w:sz w:val="28"/>
          <w:szCs w:val="40"/>
        </w:rPr>
        <w:t>第一条 规划</w:t>
      </w:r>
      <w:r>
        <w:rPr>
          <w:rFonts w:ascii="黑体" w:hAnsi="黑体" w:cs="Times New Roman"/>
          <w:sz w:val="28"/>
          <w:szCs w:val="40"/>
        </w:rPr>
        <w:t>目的</w:t>
      </w:r>
    </w:p>
    <w:p w14:paraId="4526E7F7">
      <w:pPr>
        <w:spacing w:line="360" w:lineRule="auto"/>
        <w:ind w:firstLine="56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>林区地形复杂、交通不便，传统消防手段难以快速响应火情，而航空消防因其高效性和灵活性，成为森林防火体系的重要组成部分</w:t>
      </w:r>
      <w:r>
        <w:rPr>
          <w:rFonts w:hint="eastAsia" w:ascii="宋体" w:hAnsi="宋体" w:eastAsia="宋体" w:cs="Times New Roman"/>
          <w:sz w:val="28"/>
          <w:szCs w:val="28"/>
          <w:lang w:eastAsia="zh-CN"/>
        </w:rPr>
        <w:t>，防火防灾应急交通配套设施</w:t>
      </w:r>
      <w:r>
        <w:rPr>
          <w:rFonts w:hint="eastAsia" w:ascii="宋体" w:hAnsi="宋体" w:eastAsia="宋体" w:cs="Times New Roman"/>
          <w:sz w:val="28"/>
          <w:szCs w:val="28"/>
          <w:lang w:val="en-US" w:eastAsia="zh-CN"/>
        </w:rPr>
        <w:t>的建设</w:t>
      </w:r>
      <w:r>
        <w:rPr>
          <w:rFonts w:hint="eastAsia" w:ascii="宋体" w:hAnsi="宋体" w:eastAsia="宋体" w:cs="Times New Roman"/>
          <w:sz w:val="28"/>
          <w:szCs w:val="28"/>
        </w:rPr>
        <w:t>促进</w:t>
      </w:r>
      <w:r>
        <w:rPr>
          <w:rFonts w:hint="eastAsia" w:ascii="宋体" w:hAnsi="宋体" w:eastAsia="宋体" w:cs="Times New Roman"/>
          <w:sz w:val="28"/>
          <w:szCs w:val="28"/>
          <w:lang w:val="en-US" w:eastAsia="zh-CN"/>
        </w:rPr>
        <w:t>大箐山</w:t>
      </w:r>
      <w:r>
        <w:rPr>
          <w:rFonts w:hint="eastAsia" w:ascii="宋体" w:hAnsi="宋体" w:eastAsia="宋体" w:cs="Times New Roman"/>
          <w:sz w:val="28"/>
          <w:szCs w:val="28"/>
        </w:rPr>
        <w:t>县</w:t>
      </w:r>
      <w:r>
        <w:rPr>
          <w:rFonts w:hint="eastAsia" w:ascii="宋体" w:hAnsi="宋体" w:eastAsia="宋体" w:cs="Times New Roman"/>
          <w:sz w:val="28"/>
          <w:szCs w:val="28"/>
          <w:lang w:val="en-US" w:eastAsia="zh-CN"/>
        </w:rPr>
        <w:t>林区应急配套设施水平</w:t>
      </w:r>
      <w:r>
        <w:rPr>
          <w:rFonts w:hint="eastAsia" w:ascii="宋体" w:hAnsi="宋体" w:eastAsia="宋体" w:cs="Times New Roman"/>
          <w:sz w:val="28"/>
          <w:szCs w:val="28"/>
        </w:rPr>
        <w:t>发展。为贯彻落实国家关于森林防灭火能力建设的部署要求，提升林区火灾防控和应急救援水平</w:t>
      </w:r>
      <w:r>
        <w:rPr>
          <w:rFonts w:ascii="宋体" w:hAnsi="宋体" w:eastAsia="宋体" w:cs="Times New Roman"/>
          <w:sz w:val="28"/>
          <w:szCs w:val="28"/>
        </w:rPr>
        <w:t>，</w:t>
      </w:r>
      <w:r>
        <w:rPr>
          <w:rFonts w:hint="eastAsia" w:ascii="宋体" w:hAnsi="宋体" w:eastAsia="宋体" w:cs="Times New Roman"/>
          <w:sz w:val="28"/>
          <w:szCs w:val="28"/>
        </w:rPr>
        <w:t>特编制</w:t>
      </w:r>
      <w:r>
        <w:rPr>
          <w:rFonts w:ascii="宋体" w:hAnsi="宋体" w:eastAsia="宋体" w:cs="Times New Roman"/>
          <w:sz w:val="28"/>
          <w:szCs w:val="28"/>
        </w:rPr>
        <w:t>《</w:t>
      </w:r>
      <w:r>
        <w:rPr>
          <w:rFonts w:hint="eastAsia" w:ascii="宋体" w:hAnsi="宋体" w:eastAsia="宋体" w:cs="Times New Roman"/>
          <w:sz w:val="28"/>
          <w:szCs w:val="28"/>
        </w:rPr>
        <w:t>大箐山县朗乡镇101011-02-1202地块控制性详细规划》</w:t>
      </w:r>
      <w:r>
        <w:rPr>
          <w:rFonts w:ascii="宋体" w:hAnsi="宋体" w:eastAsia="宋体" w:cs="Times New Roman"/>
          <w:sz w:val="28"/>
          <w:szCs w:val="28"/>
        </w:rPr>
        <w:t>。</w:t>
      </w:r>
    </w:p>
    <w:p w14:paraId="009DC6B3">
      <w:pPr>
        <w:spacing w:line="360" w:lineRule="auto"/>
        <w:jc w:val="left"/>
        <w:rPr>
          <w:rFonts w:ascii="黑体" w:hAnsi="黑体" w:cs="Times New Roman"/>
          <w:sz w:val="28"/>
          <w:szCs w:val="28"/>
        </w:rPr>
      </w:pPr>
      <w:r>
        <w:rPr>
          <w:rFonts w:hint="eastAsia" w:ascii="黑体" w:hAnsi="黑体" w:cs="Times New Roman"/>
          <w:sz w:val="28"/>
          <w:szCs w:val="28"/>
        </w:rPr>
        <w:t xml:space="preserve">第二条 </w:t>
      </w:r>
      <w:r>
        <w:rPr>
          <w:rFonts w:ascii="黑体" w:hAnsi="黑体" w:cs="Times New Roman"/>
          <w:sz w:val="28"/>
          <w:szCs w:val="28"/>
        </w:rPr>
        <w:t>规划依据</w:t>
      </w:r>
    </w:p>
    <w:p w14:paraId="24781AC3">
      <w:pPr>
        <w:spacing w:line="360" w:lineRule="auto"/>
        <w:ind w:firstLine="560" w:firstLineChars="200"/>
        <w:jc w:val="left"/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本规划依据《中华人民共和国城乡规划法》（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2019年修订</w:t>
      </w:r>
      <w:r>
        <w:rPr>
          <w:rFonts w:hint="eastAsia" w:ascii="宋体" w:hAnsi="宋体" w:eastAsia="宋体"/>
          <w:sz w:val="28"/>
          <w:szCs w:val="28"/>
        </w:rPr>
        <w:t>）、《国土空间调查、规划、用途管制用地用海分类指南》（2023年11月修订版）、《城市规划编制办法》、《控制</w:t>
      </w:r>
      <w:r>
        <w:rPr>
          <w:rFonts w:ascii="宋体" w:hAnsi="宋体" w:eastAsia="宋体"/>
          <w:sz w:val="28"/>
          <w:szCs w:val="28"/>
        </w:rPr>
        <w:t>性详细规划编制规范</w:t>
      </w:r>
      <w:r>
        <w:rPr>
          <w:rFonts w:hint="eastAsia" w:ascii="宋体" w:hAnsi="宋体" w:eastAsia="宋体"/>
          <w:sz w:val="28"/>
          <w:szCs w:val="28"/>
        </w:rPr>
        <w:t>》（DB23/T744-2</w:t>
      </w:r>
      <w:r>
        <w:rPr>
          <w:rFonts w:ascii="宋体" w:hAnsi="宋体" w:eastAsia="宋体"/>
          <w:sz w:val="28"/>
          <w:szCs w:val="28"/>
        </w:rPr>
        <w:t>004</w:t>
      </w:r>
      <w:r>
        <w:rPr>
          <w:rFonts w:hint="eastAsia" w:ascii="宋体" w:hAnsi="宋体" w:eastAsia="宋体"/>
          <w:sz w:val="28"/>
          <w:szCs w:val="28"/>
        </w:rPr>
        <w:t>）</w:t>
      </w:r>
      <w:r>
        <w:rPr>
          <w:rFonts w:hint="eastAsia" w:ascii="宋体" w:hAnsi="宋体" w:eastAsia="宋体" w:cs="Times New Roman"/>
          <w:sz w:val="28"/>
          <w:szCs w:val="28"/>
        </w:rPr>
        <w:t>及关于本项目的相关文件批复、批件，并</w:t>
      </w:r>
      <w:r>
        <w:rPr>
          <w:rFonts w:ascii="宋体" w:hAnsi="宋体" w:eastAsia="宋体" w:cs="Times New Roman"/>
          <w:sz w:val="28"/>
          <w:szCs w:val="28"/>
        </w:rPr>
        <w:t>符合</w:t>
      </w:r>
      <w:r>
        <w:rPr>
          <w:rFonts w:hint="eastAsia" w:ascii="宋体" w:hAnsi="宋体" w:eastAsia="宋体" w:cs="Times New Roman"/>
          <w:sz w:val="28"/>
          <w:szCs w:val="28"/>
        </w:rPr>
        <w:t>国家</w:t>
      </w:r>
      <w:r>
        <w:rPr>
          <w:rFonts w:ascii="宋体" w:hAnsi="宋体" w:eastAsia="宋体" w:cs="Times New Roman"/>
          <w:sz w:val="28"/>
          <w:szCs w:val="28"/>
        </w:rPr>
        <w:t>相关法律法规及其他有关技术</w:t>
      </w:r>
      <w:r>
        <w:rPr>
          <w:rFonts w:hint="eastAsia" w:ascii="宋体" w:hAnsi="宋体" w:eastAsia="宋体" w:cs="Times New Roman"/>
          <w:sz w:val="28"/>
          <w:szCs w:val="28"/>
        </w:rPr>
        <w:t>规范</w:t>
      </w:r>
      <w:r>
        <w:rPr>
          <w:rFonts w:ascii="宋体" w:hAnsi="宋体" w:eastAsia="宋体" w:cs="Times New Roman"/>
          <w:sz w:val="28"/>
          <w:szCs w:val="28"/>
        </w:rPr>
        <w:t>和标准的要求</w:t>
      </w:r>
      <w:r>
        <w:rPr>
          <w:rFonts w:hint="eastAsia" w:ascii="宋体" w:hAnsi="宋体" w:eastAsia="宋体" w:cs="Times New Roman"/>
          <w:sz w:val="28"/>
          <w:szCs w:val="28"/>
        </w:rPr>
        <w:t>。</w:t>
      </w:r>
    </w:p>
    <w:p w14:paraId="08D87A3F">
      <w:pPr>
        <w:spacing w:line="360" w:lineRule="auto"/>
        <w:jc w:val="left"/>
        <w:rPr>
          <w:rFonts w:ascii="黑体" w:hAnsi="黑体" w:cs="Times New Roman"/>
          <w:sz w:val="28"/>
          <w:szCs w:val="28"/>
        </w:rPr>
      </w:pPr>
      <w:r>
        <w:rPr>
          <w:rFonts w:hint="eastAsia" w:ascii="黑体" w:hAnsi="黑体" w:cs="Times New Roman"/>
          <w:sz w:val="28"/>
          <w:szCs w:val="28"/>
        </w:rPr>
        <w:t>第三条 强制性</w:t>
      </w:r>
      <w:r>
        <w:rPr>
          <w:rFonts w:ascii="黑体" w:hAnsi="黑体" w:cs="Times New Roman"/>
          <w:sz w:val="28"/>
          <w:szCs w:val="28"/>
        </w:rPr>
        <w:t>内容</w:t>
      </w:r>
    </w:p>
    <w:p w14:paraId="73D66CD8">
      <w:pPr>
        <w:spacing w:line="360" w:lineRule="auto"/>
        <w:ind w:firstLine="56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本规划经批准后，具有法定效力，必须严格执行文本中强制性条文，不得擅自改变。本规划文本中条文黑体加下“____”条文为强制性内容。</w:t>
      </w:r>
    </w:p>
    <w:p w14:paraId="041A8FE3">
      <w:pPr>
        <w:spacing w:line="360" w:lineRule="auto"/>
        <w:rPr>
          <w:rFonts w:ascii="黑体" w:hAnsi="黑体"/>
          <w:sz w:val="28"/>
          <w:szCs w:val="28"/>
        </w:rPr>
      </w:pPr>
      <w:r>
        <w:rPr>
          <w:rFonts w:hint="eastAsia" w:ascii="黑体" w:hAnsi="黑体" w:cs="Times New Roman"/>
          <w:sz w:val="28"/>
          <w:szCs w:val="28"/>
        </w:rPr>
        <w:t>第四</w:t>
      </w:r>
      <w:r>
        <w:rPr>
          <w:rFonts w:ascii="黑体" w:hAnsi="黑体" w:cs="Times New Roman"/>
          <w:sz w:val="28"/>
          <w:szCs w:val="28"/>
        </w:rPr>
        <w:t>条</w:t>
      </w:r>
      <w:r>
        <w:rPr>
          <w:rFonts w:hint="eastAsia" w:ascii="宋体" w:hAnsi="宋体" w:eastAsia="宋体" w:cs="Times New Roman"/>
          <w:sz w:val="28"/>
          <w:szCs w:val="28"/>
        </w:rPr>
        <w:t xml:space="preserve"> </w:t>
      </w:r>
      <w:r>
        <w:rPr>
          <w:rFonts w:hint="eastAsia" w:ascii="黑体" w:hAnsi="黑体"/>
          <w:sz w:val="28"/>
          <w:szCs w:val="28"/>
          <w:u w:val="single"/>
        </w:rPr>
        <w:t>任何单位和个人在101011-02-1202地块</w:t>
      </w:r>
      <w:r>
        <w:rPr>
          <w:rFonts w:ascii="黑体" w:hAnsi="黑体"/>
          <w:sz w:val="28"/>
          <w:szCs w:val="28"/>
          <w:u w:val="single"/>
        </w:rPr>
        <w:t>规划范围内</w:t>
      </w:r>
      <w:r>
        <w:rPr>
          <w:rFonts w:hint="eastAsia" w:ascii="黑体" w:hAnsi="黑体"/>
          <w:sz w:val="28"/>
          <w:szCs w:val="28"/>
          <w:u w:val="single"/>
        </w:rPr>
        <w:t>规划与</w:t>
      </w:r>
      <w:r>
        <w:rPr>
          <w:rFonts w:ascii="黑体" w:hAnsi="黑体"/>
          <w:sz w:val="28"/>
          <w:szCs w:val="28"/>
          <w:u w:val="single"/>
        </w:rPr>
        <w:t>实施规划和建设，必须遵守本规划。</w:t>
      </w:r>
    </w:p>
    <w:p w14:paraId="0A0E9CDC">
      <w:pPr>
        <w:spacing w:line="360" w:lineRule="auto"/>
        <w:jc w:val="left"/>
        <w:rPr>
          <w:rFonts w:ascii="黑体" w:hAnsi="黑体" w:cs="Times New Roman"/>
          <w:sz w:val="28"/>
          <w:szCs w:val="28"/>
        </w:rPr>
      </w:pPr>
      <w:r>
        <w:rPr>
          <w:rFonts w:hint="eastAsia" w:ascii="黑体" w:hAnsi="黑体" w:cs="Times New Roman"/>
          <w:sz w:val="28"/>
          <w:szCs w:val="28"/>
        </w:rPr>
        <w:t>第五条 规划</w:t>
      </w:r>
      <w:r>
        <w:rPr>
          <w:rFonts w:ascii="黑体" w:hAnsi="黑体" w:cs="Times New Roman"/>
          <w:sz w:val="28"/>
          <w:szCs w:val="28"/>
        </w:rPr>
        <w:t>范围</w:t>
      </w:r>
    </w:p>
    <w:p w14:paraId="3B73AE11">
      <w:pPr>
        <w:spacing w:line="360" w:lineRule="auto"/>
        <w:ind w:firstLine="277" w:firstLineChars="99"/>
        <w:rPr>
          <w:rFonts w:ascii="黑体" w:hAnsi="黑体"/>
          <w:sz w:val="28"/>
          <w:szCs w:val="28"/>
          <w:u w:val="single"/>
        </w:rPr>
      </w:pPr>
      <w:r>
        <w:rPr>
          <w:rFonts w:hint="eastAsia" w:ascii="黑体" w:hAnsi="黑体"/>
          <w:sz w:val="28"/>
          <w:szCs w:val="28"/>
          <w:u w:val="single"/>
        </w:rPr>
        <w:t>规划</w:t>
      </w:r>
      <w:r>
        <w:rPr>
          <w:rFonts w:ascii="黑体" w:hAnsi="黑体"/>
          <w:sz w:val="28"/>
          <w:szCs w:val="28"/>
          <w:u w:val="single"/>
        </w:rPr>
        <w:t>范围：</w:t>
      </w:r>
      <w:r>
        <w:rPr>
          <w:rFonts w:hint="eastAsia" w:ascii="黑体" w:hAnsi="黑体"/>
          <w:sz w:val="28"/>
          <w:szCs w:val="28"/>
          <w:u w:val="single"/>
        </w:rPr>
        <w:t>大箐山县伊春森工朗乡林业局公司乡南林场分公司</w:t>
      </w:r>
      <w:r>
        <w:rPr>
          <w:rFonts w:hint="eastAsia" w:ascii="黑体" w:hAnsi="黑体"/>
          <w:sz w:val="28"/>
          <w:szCs w:val="28"/>
          <w:u w:val="single"/>
          <w:lang w:val="en-US" w:eastAsia="zh-CN"/>
        </w:rPr>
        <w:t>内。</w:t>
      </w:r>
    </w:p>
    <w:p w14:paraId="3753EF4A">
      <w:pPr>
        <w:pStyle w:val="2"/>
        <w:spacing w:before="120" w:after="120" w:line="360" w:lineRule="auto"/>
        <w:ind w:firstLine="723"/>
      </w:pPr>
      <w:bookmarkStart w:id="4" w:name="_Toc462414908"/>
      <w:bookmarkStart w:id="5" w:name="_Toc19722"/>
      <w:r>
        <w:rPr>
          <w:rFonts w:hint="eastAsia"/>
        </w:rPr>
        <w:t>第二章 土地</w:t>
      </w:r>
      <w:r>
        <w:t>使用与用地控制</w:t>
      </w:r>
      <w:bookmarkEnd w:id="4"/>
      <w:bookmarkEnd w:id="5"/>
    </w:p>
    <w:p w14:paraId="2A0FC931">
      <w:pPr>
        <w:spacing w:line="360" w:lineRule="auto"/>
        <w:rPr>
          <w:sz w:val="28"/>
          <w:szCs w:val="32"/>
        </w:rPr>
      </w:pPr>
      <w:r>
        <w:rPr>
          <w:rFonts w:hint="eastAsia" w:ascii="黑体" w:hAnsi="黑体"/>
          <w:sz w:val="28"/>
          <w:szCs w:val="32"/>
        </w:rPr>
        <w:t xml:space="preserve">第六条 </w:t>
      </w:r>
      <w:r>
        <w:rPr>
          <w:sz w:val="28"/>
          <w:szCs w:val="32"/>
        </w:rPr>
        <w:t>用地性质</w:t>
      </w:r>
    </w:p>
    <w:p w14:paraId="3AA63870">
      <w:pPr>
        <w:spacing w:line="360" w:lineRule="auto"/>
        <w:ind w:firstLine="560"/>
        <w:rPr>
          <w:rFonts w:ascii="黑体" w:hAnsi="黑体"/>
          <w:sz w:val="28"/>
          <w:szCs w:val="32"/>
          <w:u w:val="single"/>
        </w:rPr>
      </w:pPr>
      <w:r>
        <w:rPr>
          <w:rFonts w:hint="eastAsia" w:ascii="黑体" w:hAnsi="黑体"/>
          <w:sz w:val="28"/>
          <w:szCs w:val="32"/>
          <w:u w:val="single"/>
          <w:lang w:val="en-US" w:eastAsia="zh-CN"/>
        </w:rPr>
        <w:t>规划用地性质为其他交通设施用地</w:t>
      </w:r>
      <w:r>
        <w:rPr>
          <w:rFonts w:hint="eastAsia" w:ascii="黑体" w:hAnsi="黑体"/>
          <w:sz w:val="28"/>
          <w:szCs w:val="32"/>
          <w:u w:val="single"/>
        </w:rPr>
        <w:t>，用地</w:t>
      </w:r>
      <w:r>
        <w:rPr>
          <w:rFonts w:ascii="黑体" w:hAnsi="黑体"/>
          <w:sz w:val="28"/>
          <w:szCs w:val="32"/>
          <w:u w:val="single"/>
        </w:rPr>
        <w:t>代码</w:t>
      </w:r>
      <w:r>
        <w:rPr>
          <w:rFonts w:hint="eastAsia" w:ascii="黑体" w:hAnsi="黑体"/>
          <w:sz w:val="28"/>
          <w:szCs w:val="32"/>
          <w:u w:val="single"/>
        </w:rPr>
        <w:t>为</w:t>
      </w:r>
      <w:r>
        <w:rPr>
          <w:rFonts w:hint="eastAsia" w:ascii="黑体" w:hAnsi="黑体"/>
          <w:sz w:val="28"/>
          <w:szCs w:val="32"/>
          <w:u w:val="single"/>
          <w:lang w:val="en-US" w:eastAsia="zh-CN"/>
        </w:rPr>
        <w:t>1209</w:t>
      </w:r>
      <w:r>
        <w:rPr>
          <w:rFonts w:ascii="黑体" w:hAnsi="黑体"/>
          <w:sz w:val="28"/>
          <w:szCs w:val="32"/>
          <w:u w:val="single"/>
        </w:rPr>
        <w:t>。</w:t>
      </w:r>
    </w:p>
    <w:p w14:paraId="15D00026">
      <w:pPr>
        <w:spacing w:line="360" w:lineRule="auto"/>
        <w:rPr>
          <w:sz w:val="28"/>
          <w:szCs w:val="32"/>
        </w:rPr>
      </w:pPr>
      <w:r>
        <w:rPr>
          <w:rFonts w:hint="eastAsia" w:ascii="黑体" w:hAnsi="黑体"/>
          <w:sz w:val="28"/>
          <w:szCs w:val="32"/>
        </w:rPr>
        <w:t xml:space="preserve">第七条 </w:t>
      </w:r>
      <w:r>
        <w:rPr>
          <w:rFonts w:hint="eastAsia"/>
          <w:sz w:val="28"/>
          <w:szCs w:val="32"/>
        </w:rPr>
        <w:t>用地</w:t>
      </w:r>
      <w:r>
        <w:rPr>
          <w:sz w:val="28"/>
          <w:szCs w:val="32"/>
        </w:rPr>
        <w:t>规模</w:t>
      </w:r>
    </w:p>
    <w:p w14:paraId="67A27503">
      <w:pPr>
        <w:spacing w:line="360" w:lineRule="auto"/>
        <w:ind w:firstLine="560"/>
        <w:rPr>
          <w:rFonts w:ascii="黑体" w:hAnsi="黑体"/>
          <w:sz w:val="28"/>
          <w:szCs w:val="32"/>
          <w:u w:val="single"/>
        </w:rPr>
      </w:pPr>
      <w:r>
        <w:rPr>
          <w:rFonts w:hint="eastAsia" w:ascii="黑体" w:hAnsi="黑体"/>
          <w:sz w:val="28"/>
          <w:szCs w:val="32"/>
          <w:u w:val="single"/>
          <w:lang w:val="en-US" w:eastAsia="zh-CN"/>
        </w:rPr>
        <w:t>规划</w:t>
      </w:r>
      <w:r>
        <w:rPr>
          <w:rFonts w:hint="eastAsia" w:ascii="黑体" w:hAnsi="黑体"/>
          <w:sz w:val="28"/>
          <w:szCs w:val="32"/>
          <w:u w:val="single"/>
        </w:rPr>
        <w:t>用地规模</w:t>
      </w:r>
      <w:r>
        <w:rPr>
          <w:rFonts w:ascii="黑体" w:hAnsi="黑体"/>
          <w:sz w:val="28"/>
          <w:szCs w:val="32"/>
          <w:u w:val="single"/>
        </w:rPr>
        <w:t>为</w:t>
      </w:r>
      <w:r>
        <w:rPr>
          <w:rFonts w:hint="eastAsia" w:ascii="黑体" w:hAnsi="黑体"/>
          <w:sz w:val="28"/>
          <w:szCs w:val="32"/>
          <w:u w:val="single"/>
          <w:lang w:val="en-US" w:eastAsia="zh-CN"/>
        </w:rPr>
        <w:t>2500.00</w:t>
      </w:r>
      <w:r>
        <w:rPr>
          <w:rFonts w:hint="eastAsia" w:ascii="黑体" w:hAnsi="黑体"/>
          <w:sz w:val="28"/>
          <w:szCs w:val="32"/>
          <w:u w:val="single"/>
        </w:rPr>
        <w:t>平方米。</w:t>
      </w:r>
    </w:p>
    <w:p w14:paraId="5E6FF1AB">
      <w:pPr>
        <w:pStyle w:val="2"/>
        <w:spacing w:before="120" w:after="120" w:line="360" w:lineRule="auto"/>
        <w:ind w:firstLine="723"/>
      </w:pPr>
      <w:bookmarkStart w:id="6" w:name="_Toc462414909"/>
      <w:bookmarkStart w:id="7" w:name="_Toc9506"/>
      <w:r>
        <w:rPr>
          <w:rFonts w:hint="eastAsia"/>
        </w:rPr>
        <w:t>第</w:t>
      </w:r>
      <w:r>
        <w:t>三</w:t>
      </w:r>
      <w:r>
        <w:rPr>
          <w:rFonts w:hint="eastAsia"/>
        </w:rPr>
        <w:t>章 土地</w:t>
      </w:r>
      <w:r>
        <w:t>使用强度控制</w:t>
      </w:r>
      <w:bookmarkEnd w:id="6"/>
      <w:bookmarkEnd w:id="7"/>
    </w:p>
    <w:p w14:paraId="07971773">
      <w:pPr>
        <w:spacing w:line="360" w:lineRule="auto"/>
        <w:jc w:val="left"/>
        <w:rPr>
          <w:rFonts w:ascii="黑体" w:hAnsi="黑体"/>
          <w:sz w:val="28"/>
          <w:szCs w:val="32"/>
          <w:u w:val="single"/>
        </w:rPr>
      </w:pPr>
      <w:r>
        <w:rPr>
          <w:rFonts w:hint="eastAsia" w:ascii="黑体" w:hAnsi="黑体" w:cs="Times New Roman"/>
          <w:sz w:val="28"/>
          <w:szCs w:val="28"/>
        </w:rPr>
        <w:t>第八</w:t>
      </w:r>
      <w:r>
        <w:rPr>
          <w:rFonts w:ascii="黑体" w:hAnsi="黑体" w:cs="Times New Roman"/>
          <w:sz w:val="28"/>
          <w:szCs w:val="28"/>
        </w:rPr>
        <w:t>条</w:t>
      </w:r>
      <w:r>
        <w:rPr>
          <w:rFonts w:hint="eastAsia" w:ascii="黑体" w:hAnsi="黑体" w:cs="Times New Roman"/>
          <w:sz w:val="28"/>
          <w:szCs w:val="28"/>
        </w:rPr>
        <w:t xml:space="preserve"> </w:t>
      </w:r>
      <w:r>
        <w:rPr>
          <w:rFonts w:ascii="宋体" w:hAnsi="宋体" w:eastAsia="宋体" w:cs="Times New Roman"/>
          <w:sz w:val="28"/>
          <w:szCs w:val="40"/>
        </w:rPr>
        <w:t>规划对土地开发强度控制内容为容积率、建筑密度、建筑限高、绿地率。</w:t>
      </w:r>
      <w:r>
        <w:rPr>
          <w:rFonts w:hint="eastAsia" w:ascii="黑体" w:hAnsi="黑体"/>
          <w:sz w:val="28"/>
          <w:szCs w:val="32"/>
          <w:u w:val="single"/>
        </w:rPr>
        <w:t>本项目建设无建筑物、构筑物，不对容积率、建筑密度、绿地率、建筑高度进行控制。高度必须满足建筑环境保护、消防、防空和城市规划管理部门制定的要求</w:t>
      </w:r>
    </w:p>
    <w:p w14:paraId="4A6B4096">
      <w:pPr>
        <w:spacing w:line="360" w:lineRule="auto"/>
        <w:jc w:val="left"/>
        <w:rPr>
          <w:rFonts w:ascii="黑体" w:hAnsi="黑体"/>
          <w:sz w:val="28"/>
          <w:szCs w:val="28"/>
          <w:u w:val="single"/>
        </w:rPr>
      </w:pPr>
      <w:r>
        <w:rPr>
          <w:rFonts w:hint="eastAsia" w:ascii="黑体" w:hAnsi="黑体" w:cs="Times New Roman"/>
          <w:sz w:val="28"/>
          <w:szCs w:val="28"/>
        </w:rPr>
        <w:t xml:space="preserve">第九条 </w:t>
      </w:r>
      <w:r>
        <w:rPr>
          <w:rFonts w:hint="eastAsia" w:ascii="黑体" w:hAnsi="黑体"/>
          <w:sz w:val="28"/>
          <w:szCs w:val="28"/>
          <w:u w:val="single"/>
        </w:rPr>
        <w:t>地块</w:t>
      </w:r>
      <w:r>
        <w:rPr>
          <w:rFonts w:ascii="黑体" w:hAnsi="黑体"/>
          <w:sz w:val="28"/>
          <w:szCs w:val="28"/>
          <w:u w:val="single"/>
        </w:rPr>
        <w:t>内建设除须满足本规划地块控制指标的要求外，还必须遵守相关法规、规范。</w:t>
      </w:r>
    </w:p>
    <w:p w14:paraId="0F99A1F9">
      <w:pPr>
        <w:pStyle w:val="2"/>
        <w:spacing w:before="120" w:after="120" w:line="360" w:lineRule="auto"/>
        <w:ind w:firstLine="723"/>
      </w:pPr>
      <w:bookmarkStart w:id="8" w:name="_Toc21410"/>
      <w:bookmarkStart w:id="9" w:name="_Toc462414910"/>
      <w:r>
        <w:rPr>
          <w:rFonts w:hint="eastAsia"/>
        </w:rPr>
        <w:t>第四</w:t>
      </w:r>
      <w:r>
        <w:t>章</w:t>
      </w:r>
      <w:r>
        <w:rPr>
          <w:rFonts w:hint="eastAsia"/>
        </w:rPr>
        <w:t xml:space="preserve"> 建筑</w:t>
      </w:r>
      <w:r>
        <w:t>物控制</w:t>
      </w:r>
      <w:bookmarkEnd w:id="8"/>
      <w:bookmarkEnd w:id="9"/>
    </w:p>
    <w:p w14:paraId="13E77B04">
      <w:pPr>
        <w:spacing w:line="360" w:lineRule="auto"/>
        <w:jc w:val="left"/>
        <w:rPr>
          <w:rFonts w:ascii="黑体" w:hAnsi="黑体" w:cs="Times New Roman"/>
          <w:sz w:val="28"/>
          <w:szCs w:val="28"/>
        </w:rPr>
      </w:pPr>
      <w:r>
        <w:rPr>
          <w:rFonts w:hint="eastAsia" w:ascii="黑体" w:hAnsi="黑体" w:cs="Times New Roman"/>
          <w:sz w:val="28"/>
          <w:szCs w:val="28"/>
        </w:rPr>
        <w:t>第</w:t>
      </w:r>
      <w:r>
        <w:rPr>
          <w:rFonts w:ascii="黑体" w:hAnsi="黑体" w:cs="Times New Roman"/>
          <w:sz w:val="28"/>
          <w:szCs w:val="28"/>
        </w:rPr>
        <w:t>十条</w:t>
      </w:r>
      <w:r>
        <w:rPr>
          <w:rFonts w:hint="eastAsia" w:ascii="黑体" w:hAnsi="黑体" w:cs="Times New Roman"/>
          <w:sz w:val="28"/>
          <w:szCs w:val="28"/>
        </w:rPr>
        <w:t xml:space="preserve"> 建筑</w:t>
      </w:r>
      <w:r>
        <w:rPr>
          <w:rFonts w:ascii="黑体" w:hAnsi="黑体" w:cs="Times New Roman"/>
          <w:sz w:val="28"/>
          <w:szCs w:val="28"/>
        </w:rPr>
        <w:t>间距控制</w:t>
      </w:r>
    </w:p>
    <w:p w14:paraId="32670CB7">
      <w:pPr>
        <w:spacing w:line="360" w:lineRule="auto"/>
        <w:ind w:firstLine="277" w:firstLineChars="99"/>
        <w:rPr>
          <w:rFonts w:ascii="黑体" w:hAnsi="黑体"/>
          <w:sz w:val="28"/>
          <w:szCs w:val="28"/>
          <w:u w:val="single"/>
        </w:rPr>
      </w:pPr>
      <w:r>
        <w:rPr>
          <w:rFonts w:hint="eastAsia" w:ascii="黑体" w:hAnsi="黑体"/>
          <w:sz w:val="28"/>
          <w:szCs w:val="28"/>
          <w:u w:val="single"/>
        </w:rPr>
        <w:t>地块</w:t>
      </w:r>
      <w:r>
        <w:rPr>
          <w:rFonts w:ascii="黑体" w:hAnsi="黑体"/>
          <w:sz w:val="28"/>
          <w:szCs w:val="28"/>
          <w:u w:val="single"/>
        </w:rPr>
        <w:t>内所有建筑的间距必须满足</w:t>
      </w:r>
      <w:r>
        <w:rPr>
          <w:rFonts w:hint="eastAsia" w:ascii="黑体" w:hAnsi="黑体"/>
          <w:sz w:val="28"/>
          <w:szCs w:val="28"/>
          <w:u w:val="single"/>
        </w:rPr>
        <w:t>黑龙江</w:t>
      </w:r>
      <w:r>
        <w:rPr>
          <w:rFonts w:ascii="黑体" w:hAnsi="黑体"/>
          <w:sz w:val="28"/>
          <w:szCs w:val="28"/>
          <w:u w:val="single"/>
        </w:rPr>
        <w:t>省建设厅发布的</w:t>
      </w:r>
      <w:r>
        <w:rPr>
          <w:rFonts w:hint="eastAsia" w:ascii="黑体" w:hAnsi="黑体"/>
          <w:sz w:val="28"/>
          <w:szCs w:val="28"/>
          <w:u w:val="single"/>
        </w:rPr>
        <w:t>《控制性</w:t>
      </w:r>
      <w:r>
        <w:rPr>
          <w:rFonts w:ascii="黑体" w:hAnsi="黑体"/>
          <w:sz w:val="28"/>
          <w:szCs w:val="28"/>
          <w:u w:val="single"/>
        </w:rPr>
        <w:t>详细规划编制规范</w:t>
      </w:r>
      <w:r>
        <w:rPr>
          <w:rFonts w:hint="eastAsia" w:ascii="黑体" w:hAnsi="黑体"/>
          <w:sz w:val="28"/>
          <w:szCs w:val="28"/>
          <w:u w:val="single"/>
        </w:rPr>
        <w:t>》（DB23/</w:t>
      </w:r>
      <w:r>
        <w:rPr>
          <w:rFonts w:ascii="黑体" w:hAnsi="黑体"/>
          <w:sz w:val="28"/>
          <w:szCs w:val="28"/>
          <w:u w:val="single"/>
        </w:rPr>
        <w:t>T744-2004</w:t>
      </w:r>
      <w:r>
        <w:rPr>
          <w:rFonts w:hint="eastAsia" w:ascii="黑体" w:hAnsi="黑体"/>
          <w:sz w:val="28"/>
          <w:szCs w:val="28"/>
          <w:u w:val="single"/>
        </w:rPr>
        <w:t>）中</w:t>
      </w:r>
      <w:r>
        <w:rPr>
          <w:rFonts w:ascii="黑体" w:hAnsi="黑体"/>
          <w:sz w:val="28"/>
          <w:szCs w:val="28"/>
          <w:u w:val="single"/>
        </w:rPr>
        <w:t>相关要求，并符合国家有关日照、消防、交通、工程管线敷设及卫生条件等要求，符合有关建筑规范和防火规范的要求。</w:t>
      </w:r>
    </w:p>
    <w:p w14:paraId="365F8E2A">
      <w:pPr>
        <w:spacing w:line="360" w:lineRule="auto"/>
        <w:jc w:val="left"/>
        <w:rPr>
          <w:rFonts w:ascii="黑体" w:hAnsi="黑体" w:cs="Times New Roman"/>
          <w:sz w:val="28"/>
          <w:szCs w:val="28"/>
        </w:rPr>
      </w:pPr>
      <w:r>
        <w:rPr>
          <w:rFonts w:hint="eastAsia" w:ascii="黑体" w:hAnsi="黑体" w:cs="Times New Roman"/>
          <w:sz w:val="28"/>
          <w:szCs w:val="28"/>
        </w:rPr>
        <w:t>第</w:t>
      </w:r>
      <w:r>
        <w:rPr>
          <w:rFonts w:ascii="黑体" w:hAnsi="黑体" w:cs="Times New Roman"/>
          <w:sz w:val="28"/>
          <w:szCs w:val="28"/>
        </w:rPr>
        <w:t>十</w:t>
      </w:r>
      <w:r>
        <w:rPr>
          <w:rFonts w:hint="eastAsia" w:ascii="黑体" w:hAnsi="黑体" w:cs="Times New Roman"/>
          <w:sz w:val="28"/>
          <w:szCs w:val="28"/>
        </w:rPr>
        <w:t>一</w:t>
      </w:r>
      <w:r>
        <w:rPr>
          <w:rFonts w:ascii="黑体" w:hAnsi="黑体" w:cs="Times New Roman"/>
          <w:sz w:val="28"/>
          <w:szCs w:val="28"/>
        </w:rPr>
        <w:t>条</w:t>
      </w:r>
      <w:r>
        <w:rPr>
          <w:rFonts w:hint="eastAsia" w:ascii="黑体" w:hAnsi="黑体" w:cs="Times New Roman"/>
          <w:sz w:val="28"/>
          <w:szCs w:val="28"/>
        </w:rPr>
        <w:t xml:space="preserve"> 建筑</w:t>
      </w:r>
      <w:r>
        <w:rPr>
          <w:rFonts w:ascii="黑体" w:hAnsi="黑体" w:cs="Times New Roman"/>
          <w:sz w:val="28"/>
          <w:szCs w:val="28"/>
        </w:rPr>
        <w:t>后退控制</w:t>
      </w:r>
    </w:p>
    <w:p w14:paraId="7BF85DA3">
      <w:pPr>
        <w:spacing w:line="360" w:lineRule="auto"/>
        <w:ind w:firstLine="277" w:firstLineChars="99"/>
        <w:rPr>
          <w:rFonts w:ascii="黑体" w:hAnsi="黑体"/>
          <w:sz w:val="28"/>
          <w:szCs w:val="28"/>
          <w:u w:val="single"/>
        </w:rPr>
      </w:pPr>
      <w:r>
        <w:rPr>
          <w:rFonts w:hint="eastAsia" w:ascii="黑体" w:hAnsi="黑体"/>
          <w:sz w:val="28"/>
          <w:szCs w:val="28"/>
          <w:u w:val="single"/>
        </w:rPr>
        <w:t>建筑</w:t>
      </w:r>
      <w:r>
        <w:rPr>
          <w:rFonts w:ascii="黑体" w:hAnsi="黑体"/>
          <w:sz w:val="28"/>
          <w:szCs w:val="28"/>
          <w:u w:val="single"/>
        </w:rPr>
        <w:t>退让用地红线距离和</w:t>
      </w:r>
      <w:r>
        <w:rPr>
          <w:rFonts w:hint="eastAsia" w:ascii="黑体" w:hAnsi="黑体"/>
          <w:sz w:val="28"/>
          <w:szCs w:val="28"/>
          <w:u w:val="single"/>
        </w:rPr>
        <w:t>退让</w:t>
      </w:r>
      <w:r>
        <w:rPr>
          <w:rFonts w:ascii="黑体" w:hAnsi="黑体"/>
          <w:sz w:val="28"/>
          <w:szCs w:val="28"/>
          <w:u w:val="single"/>
        </w:rPr>
        <w:t>道路红线距离，应满足消防、地下管线、交通安全、防灾、绿化和工程施工等方面的规定，以及由城市规划主管部门制定的相关规划要求。</w:t>
      </w:r>
      <w:r>
        <w:rPr>
          <w:rFonts w:hint="eastAsia" w:ascii="黑体" w:hAnsi="黑体"/>
          <w:sz w:val="28"/>
          <w:szCs w:val="28"/>
          <w:u w:val="single"/>
        </w:rPr>
        <w:t>本地块无建筑物、构筑物，不划定建筑后退线。具体退让要求以当地自然资源部门要求为准。</w:t>
      </w:r>
    </w:p>
    <w:p w14:paraId="022D1DC5">
      <w:pPr>
        <w:pStyle w:val="2"/>
        <w:spacing w:before="120" w:after="120" w:line="360" w:lineRule="auto"/>
        <w:ind w:firstLine="723"/>
      </w:pPr>
      <w:bookmarkStart w:id="10" w:name="_Toc462414911"/>
      <w:bookmarkStart w:id="11" w:name="_Toc27386"/>
      <w:r>
        <w:rPr>
          <w:rFonts w:hint="eastAsia"/>
        </w:rPr>
        <w:t>第五</w:t>
      </w:r>
      <w:r>
        <w:t>章</w:t>
      </w:r>
      <w:r>
        <w:rPr>
          <w:rFonts w:hint="eastAsia"/>
        </w:rPr>
        <w:t xml:space="preserve"> 道路</w:t>
      </w:r>
      <w:r>
        <w:t>交通规划</w:t>
      </w:r>
      <w:bookmarkEnd w:id="10"/>
      <w:bookmarkEnd w:id="11"/>
    </w:p>
    <w:p w14:paraId="17DBC33E">
      <w:pPr>
        <w:spacing w:line="360" w:lineRule="auto"/>
        <w:jc w:val="left"/>
        <w:rPr>
          <w:rFonts w:ascii="宋体" w:hAnsi="宋体" w:eastAsia="宋体" w:cs="Times New Roman"/>
          <w:sz w:val="28"/>
          <w:szCs w:val="40"/>
        </w:rPr>
      </w:pPr>
      <w:r>
        <w:rPr>
          <w:rFonts w:hint="eastAsia" w:ascii="黑体" w:hAnsi="黑体" w:cs="Times New Roman"/>
          <w:sz w:val="28"/>
          <w:szCs w:val="28"/>
        </w:rPr>
        <w:t>第</w:t>
      </w:r>
      <w:r>
        <w:rPr>
          <w:rFonts w:ascii="黑体" w:hAnsi="黑体" w:cs="Times New Roman"/>
          <w:sz w:val="28"/>
          <w:szCs w:val="28"/>
        </w:rPr>
        <w:t>十</w:t>
      </w:r>
      <w:r>
        <w:rPr>
          <w:rFonts w:hint="eastAsia" w:ascii="黑体" w:hAnsi="黑体" w:cs="Times New Roman"/>
          <w:sz w:val="28"/>
          <w:szCs w:val="28"/>
        </w:rPr>
        <w:t>二</w:t>
      </w:r>
      <w:r>
        <w:rPr>
          <w:rFonts w:ascii="黑体" w:hAnsi="黑体" w:cs="Times New Roman"/>
          <w:sz w:val="28"/>
          <w:szCs w:val="28"/>
        </w:rPr>
        <w:t>条</w:t>
      </w:r>
      <w:r>
        <w:rPr>
          <w:rFonts w:hint="eastAsia" w:ascii="黑体" w:hAnsi="黑体" w:cs="Times New Roman"/>
          <w:sz w:val="28"/>
          <w:szCs w:val="28"/>
        </w:rPr>
        <w:t xml:space="preserve"> </w:t>
      </w:r>
      <w:r>
        <w:rPr>
          <w:rFonts w:hint="eastAsia" w:ascii="宋体" w:hAnsi="宋体" w:eastAsia="宋体" w:cs="Times New Roman"/>
          <w:sz w:val="28"/>
          <w:szCs w:val="40"/>
        </w:rPr>
        <w:t>地块周边道路网系统、交通设施、机动车出入口位置等应符合地块控制图则的规定。</w:t>
      </w:r>
    </w:p>
    <w:p w14:paraId="64DDEF99">
      <w:pPr>
        <w:spacing w:line="360" w:lineRule="auto"/>
        <w:jc w:val="left"/>
        <w:rPr>
          <w:rFonts w:ascii="宋体" w:hAnsi="宋体" w:eastAsia="宋体" w:cs="Times New Roman"/>
          <w:sz w:val="28"/>
          <w:szCs w:val="40"/>
        </w:rPr>
      </w:pPr>
      <w:r>
        <w:rPr>
          <w:rFonts w:hint="eastAsia" w:ascii="黑体" w:hAnsi="黑体" w:cs="Times New Roman"/>
          <w:sz w:val="28"/>
          <w:szCs w:val="28"/>
        </w:rPr>
        <w:t>第十三</w:t>
      </w:r>
      <w:r>
        <w:rPr>
          <w:rFonts w:ascii="黑体" w:hAnsi="黑体" w:cs="Times New Roman"/>
          <w:sz w:val="28"/>
          <w:szCs w:val="28"/>
        </w:rPr>
        <w:t>条</w:t>
      </w:r>
      <w:r>
        <w:rPr>
          <w:rFonts w:hint="eastAsia" w:ascii="黑体" w:hAnsi="黑体" w:cs="Times New Roman"/>
          <w:sz w:val="28"/>
          <w:szCs w:val="28"/>
        </w:rPr>
        <w:t xml:space="preserve"> </w:t>
      </w:r>
      <w:r>
        <w:rPr>
          <w:rFonts w:hint="eastAsia" w:ascii="宋体" w:hAnsi="宋体" w:eastAsia="宋体" w:cs="Times New Roman"/>
          <w:sz w:val="28"/>
          <w:szCs w:val="28"/>
        </w:rPr>
        <w:t>地块内</w:t>
      </w:r>
      <w:r>
        <w:rPr>
          <w:rFonts w:ascii="宋体" w:hAnsi="宋体" w:eastAsia="宋体" w:cs="Times New Roman"/>
          <w:sz w:val="28"/>
          <w:szCs w:val="28"/>
        </w:rPr>
        <w:t>的道路主要为</w:t>
      </w:r>
      <w:r>
        <w:rPr>
          <w:rFonts w:hint="eastAsia" w:ascii="宋体" w:hAnsi="宋体" w:eastAsia="宋体" w:cs="Times New Roman"/>
          <w:sz w:val="28"/>
          <w:szCs w:val="28"/>
          <w:lang w:val="en-US" w:eastAsia="zh-CN"/>
        </w:rPr>
        <w:t>朗依公路</w:t>
      </w:r>
      <w:r>
        <w:rPr>
          <w:rFonts w:hint="eastAsia" w:ascii="宋体" w:hAnsi="宋体" w:eastAsia="宋体" w:cs="Times New Roman"/>
          <w:sz w:val="28"/>
          <w:szCs w:val="28"/>
        </w:rPr>
        <w:t>和进场道</w:t>
      </w:r>
      <w:r>
        <w:rPr>
          <w:rFonts w:ascii="宋体" w:hAnsi="宋体" w:eastAsia="宋体" w:cs="Times New Roman"/>
          <w:sz w:val="28"/>
          <w:szCs w:val="28"/>
        </w:rPr>
        <w:t>。</w:t>
      </w:r>
    </w:p>
    <w:p w14:paraId="313DBBC4">
      <w:pPr>
        <w:spacing w:line="360" w:lineRule="auto"/>
        <w:jc w:val="left"/>
        <w:rPr>
          <w:rFonts w:ascii="宋体" w:hAnsi="宋体" w:eastAsia="宋体" w:cs="Times New Roman"/>
          <w:sz w:val="28"/>
          <w:szCs w:val="40"/>
        </w:rPr>
      </w:pPr>
      <w:r>
        <w:rPr>
          <w:rFonts w:hint="eastAsia" w:ascii="黑体" w:hAnsi="黑体" w:cs="Times New Roman"/>
          <w:sz w:val="28"/>
          <w:szCs w:val="28"/>
        </w:rPr>
        <w:t>第十四</w:t>
      </w:r>
      <w:r>
        <w:rPr>
          <w:rFonts w:ascii="黑体" w:hAnsi="黑体" w:cs="Times New Roman"/>
          <w:sz w:val="28"/>
          <w:szCs w:val="28"/>
        </w:rPr>
        <w:t>条</w:t>
      </w:r>
      <w:r>
        <w:rPr>
          <w:rFonts w:hint="eastAsia" w:ascii="黑体" w:hAnsi="黑体" w:cs="Times New Roman"/>
          <w:sz w:val="28"/>
          <w:szCs w:val="28"/>
        </w:rPr>
        <w:t xml:space="preserve"> </w:t>
      </w:r>
      <w:r>
        <w:rPr>
          <w:rFonts w:hint="eastAsia" w:ascii="宋体" w:hAnsi="宋体" w:eastAsia="宋体" w:cs="Times New Roman"/>
          <w:sz w:val="28"/>
          <w:szCs w:val="40"/>
        </w:rPr>
        <w:t>道路竖向设计应综合考虑地形、防洪防涝、街坊排水和工程管网的布线等要求，道路纵坡应尽量保证在0.3%—3.0%之间。</w:t>
      </w:r>
    </w:p>
    <w:p w14:paraId="2859195C">
      <w:pPr>
        <w:spacing w:line="360" w:lineRule="auto"/>
        <w:jc w:val="left"/>
        <w:rPr>
          <w:rFonts w:ascii="宋体" w:hAnsi="宋体" w:eastAsia="宋体" w:cs="Times New Roman"/>
          <w:sz w:val="28"/>
          <w:szCs w:val="40"/>
        </w:rPr>
      </w:pPr>
      <w:r>
        <w:rPr>
          <w:rFonts w:hint="eastAsia" w:ascii="黑体" w:hAnsi="黑体" w:cs="Times New Roman"/>
          <w:sz w:val="28"/>
          <w:szCs w:val="28"/>
        </w:rPr>
        <w:t>第十五</w:t>
      </w:r>
      <w:r>
        <w:rPr>
          <w:rFonts w:ascii="黑体" w:hAnsi="黑体" w:cs="Times New Roman"/>
          <w:sz w:val="28"/>
          <w:szCs w:val="28"/>
        </w:rPr>
        <w:t>条</w:t>
      </w:r>
      <w:r>
        <w:rPr>
          <w:rFonts w:hint="eastAsia" w:ascii="黑体" w:hAnsi="黑体" w:cs="Times New Roman"/>
          <w:sz w:val="28"/>
          <w:szCs w:val="28"/>
        </w:rPr>
        <w:t xml:space="preserve"> </w:t>
      </w:r>
      <w:r>
        <w:rPr>
          <w:rFonts w:hint="eastAsia" w:ascii="宋体" w:hAnsi="宋体" w:eastAsia="宋体" w:cs="Times New Roman"/>
          <w:sz w:val="28"/>
          <w:szCs w:val="40"/>
        </w:rPr>
        <w:t>设置配建停车场（库）须符合道路系统规划中停车场（库）配建车位控制指标规定。</w:t>
      </w:r>
    </w:p>
    <w:p w14:paraId="6BF8684C">
      <w:pPr>
        <w:pStyle w:val="2"/>
        <w:spacing w:before="120" w:after="120" w:line="360" w:lineRule="auto"/>
        <w:ind w:firstLine="723"/>
      </w:pPr>
      <w:bookmarkStart w:id="12" w:name="_Toc462414913"/>
      <w:bookmarkStart w:id="13" w:name="_Toc9945"/>
      <w:r>
        <w:rPr>
          <w:rFonts w:hint="eastAsia"/>
        </w:rPr>
        <w:t xml:space="preserve">第六章 </w:t>
      </w:r>
      <w:bookmarkEnd w:id="12"/>
      <w:r>
        <w:rPr>
          <w:rFonts w:hint="eastAsia"/>
        </w:rPr>
        <w:t>防灾工程规划</w:t>
      </w:r>
      <w:bookmarkEnd w:id="13"/>
    </w:p>
    <w:p w14:paraId="33C62B4A">
      <w:pPr>
        <w:spacing w:line="360" w:lineRule="auto"/>
        <w:jc w:val="left"/>
        <w:rPr>
          <w:rFonts w:ascii="黑体" w:hAnsi="黑体" w:cs="Times New Roman"/>
          <w:sz w:val="28"/>
          <w:szCs w:val="40"/>
        </w:rPr>
      </w:pPr>
      <w:r>
        <w:rPr>
          <w:rFonts w:hint="eastAsia" w:ascii="黑体" w:hAnsi="黑体" w:cs="Times New Roman"/>
          <w:sz w:val="28"/>
          <w:szCs w:val="40"/>
        </w:rPr>
        <w:t>第十六</w:t>
      </w:r>
      <w:r>
        <w:rPr>
          <w:rFonts w:ascii="黑体" w:hAnsi="黑体" w:cs="Times New Roman"/>
          <w:sz w:val="28"/>
          <w:szCs w:val="40"/>
        </w:rPr>
        <w:t>条</w:t>
      </w:r>
      <w:r>
        <w:rPr>
          <w:rFonts w:hint="eastAsia" w:ascii="黑体" w:hAnsi="黑体" w:cs="Times New Roman"/>
          <w:sz w:val="28"/>
          <w:szCs w:val="40"/>
        </w:rPr>
        <w:t xml:space="preserve"> 消防工程</w:t>
      </w:r>
      <w:r>
        <w:rPr>
          <w:rFonts w:ascii="黑体" w:hAnsi="黑体" w:cs="Times New Roman"/>
          <w:sz w:val="28"/>
          <w:szCs w:val="40"/>
        </w:rPr>
        <w:t>规划</w:t>
      </w:r>
    </w:p>
    <w:p w14:paraId="22D6D13F">
      <w:pPr>
        <w:spacing w:line="360" w:lineRule="auto"/>
        <w:ind w:firstLine="425" w:firstLineChars="152"/>
        <w:jc w:val="left"/>
        <w:rPr>
          <w:rFonts w:ascii="黑体" w:hAnsi="黑体" w:cs="Times New Roman"/>
          <w:sz w:val="28"/>
          <w:szCs w:val="40"/>
          <w:u w:val="single"/>
        </w:rPr>
      </w:pPr>
      <w:r>
        <w:rPr>
          <w:rFonts w:hint="eastAsia" w:ascii="黑体" w:hAnsi="黑体" w:cs="Times New Roman"/>
          <w:sz w:val="28"/>
          <w:szCs w:val="40"/>
          <w:u w:val="single"/>
        </w:rPr>
        <w:t>地块</w:t>
      </w:r>
      <w:r>
        <w:rPr>
          <w:rFonts w:ascii="黑体" w:hAnsi="黑体" w:cs="Times New Roman"/>
          <w:sz w:val="28"/>
          <w:szCs w:val="40"/>
          <w:u w:val="single"/>
        </w:rPr>
        <w:t>内设计必须符合</w:t>
      </w:r>
      <w:r>
        <w:rPr>
          <w:rFonts w:hint="eastAsia" w:ascii="黑体" w:hAnsi="黑体" w:cs="Times New Roman"/>
          <w:sz w:val="28"/>
          <w:szCs w:val="40"/>
          <w:u w:val="single"/>
        </w:rPr>
        <w:t>防火</w:t>
      </w:r>
      <w:r>
        <w:rPr>
          <w:rFonts w:ascii="黑体" w:hAnsi="黑体" w:cs="Times New Roman"/>
          <w:sz w:val="28"/>
          <w:szCs w:val="40"/>
          <w:u w:val="single"/>
        </w:rPr>
        <w:t>设计规范</w:t>
      </w:r>
      <w:r>
        <w:rPr>
          <w:rFonts w:hint="eastAsia" w:ascii="黑体" w:hAnsi="黑体" w:cs="Times New Roman"/>
          <w:sz w:val="28"/>
          <w:szCs w:val="40"/>
          <w:u w:val="single"/>
        </w:rPr>
        <w:t>等</w:t>
      </w:r>
      <w:r>
        <w:rPr>
          <w:rFonts w:ascii="黑体" w:hAnsi="黑体" w:cs="Times New Roman"/>
          <w:sz w:val="28"/>
          <w:szCs w:val="40"/>
          <w:u w:val="single"/>
        </w:rPr>
        <w:t>相关法律、法规及规范</w:t>
      </w:r>
      <w:r>
        <w:rPr>
          <w:rFonts w:hint="eastAsia" w:ascii="黑体" w:hAnsi="黑体" w:cs="Times New Roman"/>
          <w:sz w:val="28"/>
          <w:szCs w:val="40"/>
          <w:u w:val="single"/>
        </w:rPr>
        <w:t>。</w:t>
      </w:r>
    </w:p>
    <w:p w14:paraId="21221212">
      <w:pPr>
        <w:spacing w:line="360" w:lineRule="auto"/>
        <w:jc w:val="left"/>
        <w:rPr>
          <w:rFonts w:ascii="黑体" w:hAnsi="黑体" w:cs="Times New Roman"/>
          <w:sz w:val="28"/>
          <w:szCs w:val="40"/>
        </w:rPr>
      </w:pPr>
      <w:r>
        <w:rPr>
          <w:rFonts w:hint="eastAsia" w:ascii="黑体" w:hAnsi="黑体" w:cs="Times New Roman"/>
          <w:sz w:val="28"/>
          <w:szCs w:val="40"/>
        </w:rPr>
        <w:t>第十七</w:t>
      </w:r>
      <w:r>
        <w:rPr>
          <w:rFonts w:ascii="黑体" w:hAnsi="黑体" w:cs="Times New Roman"/>
          <w:sz w:val="28"/>
          <w:szCs w:val="40"/>
        </w:rPr>
        <w:t>条</w:t>
      </w:r>
      <w:r>
        <w:rPr>
          <w:rFonts w:hint="eastAsia" w:ascii="黑体" w:hAnsi="黑体" w:cs="Times New Roman"/>
          <w:sz w:val="28"/>
          <w:szCs w:val="40"/>
        </w:rPr>
        <w:t xml:space="preserve"> 抗震减灾</w:t>
      </w:r>
      <w:r>
        <w:rPr>
          <w:rFonts w:ascii="黑体" w:hAnsi="黑体" w:cs="Times New Roman"/>
          <w:sz w:val="28"/>
          <w:szCs w:val="40"/>
        </w:rPr>
        <w:t>规划</w:t>
      </w:r>
    </w:p>
    <w:p w14:paraId="331C0239">
      <w:pPr>
        <w:spacing w:line="360" w:lineRule="auto"/>
        <w:ind w:firstLine="425" w:firstLineChars="152"/>
        <w:jc w:val="left"/>
        <w:rPr>
          <w:rFonts w:ascii="黑体" w:hAnsi="黑体" w:cs="Times New Roman"/>
          <w:sz w:val="28"/>
          <w:szCs w:val="40"/>
          <w:u w:val="single"/>
        </w:rPr>
      </w:pPr>
      <w:r>
        <w:rPr>
          <w:rFonts w:hint="eastAsia" w:ascii="黑体" w:hAnsi="黑体" w:cs="Times New Roman"/>
          <w:sz w:val="28"/>
          <w:szCs w:val="40"/>
          <w:u w:val="single"/>
        </w:rPr>
        <w:t>本地块</w:t>
      </w:r>
      <w:r>
        <w:rPr>
          <w:rFonts w:ascii="黑体" w:hAnsi="黑体" w:cs="Times New Roman"/>
          <w:sz w:val="28"/>
          <w:szCs w:val="40"/>
          <w:u w:val="single"/>
        </w:rPr>
        <w:t>位于</w:t>
      </w:r>
      <w:r>
        <w:rPr>
          <w:rFonts w:hint="eastAsia" w:ascii="黑体" w:hAnsi="黑体" w:cs="Times New Roman"/>
          <w:sz w:val="28"/>
          <w:szCs w:val="40"/>
          <w:u w:val="single"/>
        </w:rPr>
        <w:t>我省</w:t>
      </w:r>
      <w:r>
        <w:rPr>
          <w:rFonts w:ascii="黑体" w:hAnsi="黑体" w:cs="Times New Roman"/>
          <w:sz w:val="28"/>
          <w:szCs w:val="40"/>
          <w:u w:val="single"/>
        </w:rPr>
        <w:t>地震弱震区，所在地位</w:t>
      </w:r>
      <w:r>
        <w:rPr>
          <w:rFonts w:hint="eastAsia" w:ascii="黑体" w:hAnsi="黑体" w:cs="Times New Roman"/>
          <w:sz w:val="28"/>
          <w:szCs w:val="40"/>
          <w:u w:val="single"/>
        </w:rPr>
        <w:t>于6°</w:t>
      </w:r>
      <w:r>
        <w:rPr>
          <w:rFonts w:ascii="黑体" w:hAnsi="黑体" w:cs="Times New Roman"/>
          <w:sz w:val="28"/>
          <w:szCs w:val="40"/>
          <w:u w:val="single"/>
        </w:rPr>
        <w:t>抗震设防和设计基本地震加速度值为</w:t>
      </w:r>
      <w:r>
        <w:rPr>
          <w:rFonts w:hint="eastAsia" w:ascii="黑体" w:hAnsi="黑体" w:cs="Times New Roman"/>
          <w:sz w:val="28"/>
          <w:szCs w:val="40"/>
          <w:u w:val="single"/>
        </w:rPr>
        <w:t>0.05g地区</w:t>
      </w:r>
      <w:r>
        <w:rPr>
          <w:rFonts w:ascii="黑体" w:hAnsi="黑体" w:cs="Times New Roman"/>
          <w:sz w:val="28"/>
          <w:szCs w:val="40"/>
          <w:u w:val="single"/>
        </w:rPr>
        <w:t>，</w:t>
      </w:r>
      <w:r>
        <w:rPr>
          <w:rFonts w:hint="eastAsia" w:ascii="黑体" w:hAnsi="黑体" w:cs="Times New Roman"/>
          <w:sz w:val="28"/>
          <w:szCs w:val="40"/>
          <w:u w:val="single"/>
        </w:rPr>
        <w:t>建筑</w:t>
      </w:r>
      <w:r>
        <w:rPr>
          <w:rFonts w:ascii="黑体" w:hAnsi="黑体" w:cs="Times New Roman"/>
          <w:sz w:val="28"/>
          <w:szCs w:val="40"/>
          <w:u w:val="single"/>
        </w:rPr>
        <w:t>抗震按</w:t>
      </w:r>
      <w:r>
        <w:rPr>
          <w:rFonts w:hint="eastAsia" w:ascii="黑体" w:hAnsi="黑体" w:cs="Times New Roman"/>
          <w:sz w:val="28"/>
          <w:szCs w:val="40"/>
          <w:u w:val="single"/>
        </w:rPr>
        <w:t>6°</w:t>
      </w:r>
      <w:r>
        <w:rPr>
          <w:rFonts w:ascii="黑体" w:hAnsi="黑体" w:cs="Times New Roman"/>
          <w:sz w:val="28"/>
          <w:szCs w:val="40"/>
          <w:u w:val="single"/>
        </w:rPr>
        <w:t>抗震设防烈度设防。</w:t>
      </w:r>
    </w:p>
    <w:p w14:paraId="5458DFED">
      <w:pPr>
        <w:pStyle w:val="2"/>
        <w:spacing w:before="120" w:after="120" w:line="360" w:lineRule="auto"/>
        <w:ind w:firstLine="723"/>
      </w:pPr>
      <w:bookmarkStart w:id="14" w:name="_Toc28212"/>
      <w:bookmarkStart w:id="15" w:name="_Toc462414914"/>
      <w:r>
        <w:rPr>
          <w:rFonts w:hint="eastAsia"/>
        </w:rPr>
        <w:t>第七</w:t>
      </w:r>
      <w:r>
        <w:t>章</w:t>
      </w:r>
      <w:r>
        <w:rPr>
          <w:rFonts w:hint="eastAsia"/>
        </w:rPr>
        <w:t xml:space="preserve"> 附则</w:t>
      </w:r>
      <w:bookmarkEnd w:id="14"/>
      <w:bookmarkEnd w:id="15"/>
    </w:p>
    <w:p w14:paraId="70937038">
      <w:pPr>
        <w:spacing w:line="360" w:lineRule="auto"/>
        <w:jc w:val="left"/>
        <w:rPr>
          <w:rFonts w:ascii="黑体" w:hAnsi="黑体" w:cs="Times New Roman"/>
          <w:sz w:val="28"/>
          <w:szCs w:val="28"/>
        </w:rPr>
      </w:pPr>
      <w:r>
        <w:rPr>
          <w:rFonts w:hint="eastAsia" w:ascii="黑体" w:hAnsi="黑体" w:cs="Times New Roman"/>
          <w:sz w:val="28"/>
          <w:szCs w:val="28"/>
        </w:rPr>
        <w:t>第十八</w:t>
      </w:r>
      <w:r>
        <w:rPr>
          <w:rFonts w:ascii="黑体" w:hAnsi="黑体" w:cs="Times New Roman"/>
          <w:sz w:val="28"/>
          <w:szCs w:val="28"/>
        </w:rPr>
        <w:t>条</w:t>
      </w:r>
      <w:r>
        <w:rPr>
          <w:rFonts w:hint="eastAsia" w:ascii="黑体" w:hAnsi="黑体" w:cs="Times New Roman"/>
          <w:sz w:val="28"/>
          <w:szCs w:val="28"/>
        </w:rPr>
        <w:t xml:space="preserve"> 文本</w:t>
      </w:r>
      <w:r>
        <w:rPr>
          <w:rFonts w:ascii="黑体" w:hAnsi="黑体" w:cs="Times New Roman"/>
          <w:sz w:val="28"/>
          <w:szCs w:val="28"/>
        </w:rPr>
        <w:t>的</w:t>
      </w:r>
      <w:r>
        <w:rPr>
          <w:rFonts w:hint="eastAsia" w:ascii="黑体" w:hAnsi="黑体" w:cs="Times New Roman"/>
          <w:sz w:val="28"/>
          <w:szCs w:val="28"/>
        </w:rPr>
        <w:t>法定</w:t>
      </w:r>
      <w:r>
        <w:rPr>
          <w:rFonts w:ascii="黑体" w:hAnsi="黑体" w:cs="Times New Roman"/>
          <w:sz w:val="28"/>
          <w:szCs w:val="28"/>
        </w:rPr>
        <w:t>效力</w:t>
      </w:r>
    </w:p>
    <w:p w14:paraId="63450E7A">
      <w:pPr>
        <w:spacing w:line="360" w:lineRule="auto"/>
        <w:ind w:firstLine="560"/>
        <w:jc w:val="left"/>
        <w:rPr>
          <w:rFonts w:ascii="宋体" w:hAnsi="宋体" w:eastAsia="宋体" w:cs="Times New Roman"/>
          <w:sz w:val="28"/>
          <w:szCs w:val="40"/>
        </w:rPr>
      </w:pPr>
      <w:r>
        <w:rPr>
          <w:rFonts w:hint="eastAsia" w:ascii="宋体" w:hAnsi="宋体" w:eastAsia="宋体" w:cs="Times New Roman"/>
          <w:sz w:val="28"/>
          <w:szCs w:val="40"/>
        </w:rPr>
        <w:t>本</w:t>
      </w:r>
      <w:r>
        <w:rPr>
          <w:rFonts w:ascii="宋体" w:hAnsi="宋体" w:eastAsia="宋体" w:cs="Times New Roman"/>
          <w:sz w:val="28"/>
          <w:szCs w:val="40"/>
        </w:rPr>
        <w:t>规划由规划文本、</w:t>
      </w:r>
      <w:r>
        <w:rPr>
          <w:rFonts w:hint="eastAsia" w:ascii="宋体" w:hAnsi="宋体" w:eastAsia="宋体" w:cs="Times New Roman"/>
          <w:sz w:val="28"/>
          <w:szCs w:val="40"/>
        </w:rPr>
        <w:t>图纸</w:t>
      </w:r>
      <w:r>
        <w:rPr>
          <w:rFonts w:ascii="宋体" w:hAnsi="宋体" w:eastAsia="宋体" w:cs="Times New Roman"/>
          <w:sz w:val="28"/>
          <w:szCs w:val="40"/>
        </w:rPr>
        <w:t>和附件（</w:t>
      </w:r>
      <w:r>
        <w:rPr>
          <w:rFonts w:hint="eastAsia" w:ascii="宋体" w:hAnsi="宋体" w:eastAsia="宋体" w:cs="Times New Roman"/>
          <w:sz w:val="28"/>
          <w:szCs w:val="40"/>
        </w:rPr>
        <w:t>说明书</w:t>
      </w:r>
      <w:r>
        <w:rPr>
          <w:rFonts w:ascii="宋体" w:hAnsi="宋体" w:eastAsia="宋体" w:cs="Times New Roman"/>
          <w:sz w:val="28"/>
          <w:szCs w:val="40"/>
        </w:rPr>
        <w:t>）</w:t>
      </w:r>
      <w:r>
        <w:rPr>
          <w:rFonts w:hint="eastAsia" w:ascii="宋体" w:hAnsi="宋体" w:eastAsia="宋体" w:cs="Times New Roman"/>
          <w:sz w:val="28"/>
          <w:szCs w:val="40"/>
        </w:rPr>
        <w:t>组成</w:t>
      </w:r>
      <w:r>
        <w:rPr>
          <w:rFonts w:ascii="宋体" w:hAnsi="宋体" w:eastAsia="宋体" w:cs="Times New Roman"/>
          <w:sz w:val="28"/>
          <w:szCs w:val="40"/>
        </w:rPr>
        <w:t>，</w:t>
      </w:r>
      <w:r>
        <w:rPr>
          <w:rFonts w:hint="eastAsia" w:ascii="宋体" w:hAnsi="宋体" w:eastAsia="宋体" w:cs="Times New Roman"/>
          <w:sz w:val="28"/>
          <w:szCs w:val="40"/>
        </w:rPr>
        <w:t>规划文本和图纸具有同等的法定效力，两者同时使用，不可分割。</w:t>
      </w:r>
    </w:p>
    <w:p w14:paraId="6B493B27">
      <w:pPr>
        <w:spacing w:line="360" w:lineRule="auto"/>
        <w:jc w:val="left"/>
        <w:rPr>
          <w:rFonts w:ascii="黑体" w:hAnsi="黑体" w:cs="Times New Roman"/>
          <w:sz w:val="28"/>
          <w:szCs w:val="28"/>
        </w:rPr>
      </w:pPr>
      <w:r>
        <w:rPr>
          <w:rFonts w:hint="eastAsia" w:ascii="黑体" w:hAnsi="黑体" w:cs="Times New Roman"/>
          <w:sz w:val="28"/>
          <w:szCs w:val="28"/>
        </w:rPr>
        <w:t>第十九条 规划</w:t>
      </w:r>
      <w:r>
        <w:rPr>
          <w:rFonts w:ascii="黑体" w:hAnsi="黑体" w:cs="Times New Roman"/>
          <w:sz w:val="28"/>
          <w:szCs w:val="28"/>
        </w:rPr>
        <w:t>的解释权</w:t>
      </w:r>
    </w:p>
    <w:p w14:paraId="736F4964">
      <w:pPr>
        <w:spacing w:line="360" w:lineRule="auto"/>
        <w:ind w:firstLine="560"/>
        <w:jc w:val="left"/>
        <w:rPr>
          <w:rFonts w:ascii="宋体" w:hAnsi="宋体" w:eastAsia="宋体" w:cs="Times New Roman"/>
          <w:sz w:val="28"/>
          <w:szCs w:val="40"/>
        </w:rPr>
      </w:pPr>
      <w:r>
        <w:rPr>
          <w:rFonts w:hint="eastAsia" w:ascii="宋体" w:hAnsi="宋体" w:eastAsia="宋体" w:cs="Times New Roman"/>
          <w:sz w:val="28"/>
          <w:szCs w:val="40"/>
        </w:rPr>
        <w:t>本规划由</w:t>
      </w:r>
      <w:r>
        <w:rPr>
          <w:rFonts w:hint="eastAsia" w:ascii="宋体" w:hAnsi="宋体" w:eastAsia="宋体" w:cs="Times New Roman"/>
          <w:sz w:val="28"/>
          <w:szCs w:val="40"/>
          <w:lang w:val="en-US" w:eastAsia="zh-CN"/>
        </w:rPr>
        <w:t>大箐山县</w:t>
      </w:r>
      <w:r>
        <w:rPr>
          <w:rFonts w:hint="eastAsia" w:ascii="宋体" w:hAnsi="宋体" w:eastAsia="宋体" w:cs="Times New Roman"/>
          <w:sz w:val="28"/>
          <w:szCs w:val="40"/>
        </w:rPr>
        <w:t>自然资源局批准后颁布实施。由</w:t>
      </w:r>
      <w:r>
        <w:rPr>
          <w:rFonts w:hint="eastAsia" w:ascii="宋体" w:hAnsi="宋体" w:eastAsia="宋体" w:cs="Times New Roman"/>
          <w:sz w:val="28"/>
          <w:szCs w:val="40"/>
          <w:lang w:val="en-US" w:eastAsia="zh-CN"/>
        </w:rPr>
        <w:t>大箐山</w:t>
      </w:r>
      <w:r>
        <w:rPr>
          <w:rFonts w:hint="eastAsia" w:ascii="宋体" w:hAnsi="宋体" w:eastAsia="宋体" w:cs="Times New Roman"/>
          <w:sz w:val="28"/>
          <w:szCs w:val="40"/>
        </w:rPr>
        <w:t>县自然资源局行政</w:t>
      </w:r>
      <w:r>
        <w:rPr>
          <w:rFonts w:ascii="宋体" w:hAnsi="宋体" w:eastAsia="宋体" w:cs="Times New Roman"/>
          <w:sz w:val="28"/>
          <w:szCs w:val="40"/>
        </w:rPr>
        <w:t>主管部门</w:t>
      </w:r>
      <w:r>
        <w:rPr>
          <w:rFonts w:hint="eastAsia" w:ascii="宋体" w:hAnsi="宋体" w:eastAsia="宋体" w:cs="Times New Roman"/>
          <w:sz w:val="28"/>
          <w:szCs w:val="40"/>
        </w:rPr>
        <w:t>负责解释。</w:t>
      </w:r>
    </w:p>
    <w:p w14:paraId="0F5F75D8">
      <w:pPr>
        <w:spacing w:line="360" w:lineRule="auto"/>
        <w:jc w:val="left"/>
        <w:rPr>
          <w:rFonts w:ascii="黑体" w:hAnsi="黑体" w:cs="Times New Roman"/>
          <w:sz w:val="28"/>
          <w:szCs w:val="28"/>
        </w:rPr>
      </w:pPr>
      <w:r>
        <w:rPr>
          <w:rFonts w:hint="eastAsia" w:ascii="黑体" w:hAnsi="黑体" w:cs="Times New Roman"/>
          <w:sz w:val="28"/>
          <w:szCs w:val="28"/>
        </w:rPr>
        <w:t>第二十条 规划实施</w:t>
      </w:r>
    </w:p>
    <w:p w14:paraId="5C38A454">
      <w:pPr>
        <w:spacing w:line="360" w:lineRule="auto"/>
        <w:ind w:firstLine="560"/>
        <w:jc w:val="left"/>
        <w:rPr>
          <w:rFonts w:ascii="宋体" w:hAnsi="宋体" w:eastAsia="宋体" w:cs="Times New Roman"/>
          <w:szCs w:val="28"/>
        </w:rPr>
      </w:pPr>
      <w:r>
        <w:rPr>
          <w:rFonts w:hint="eastAsia" w:ascii="宋体" w:hAnsi="宋体" w:eastAsia="宋体" w:cs="Times New Roman"/>
          <w:sz w:val="28"/>
          <w:szCs w:val="40"/>
        </w:rPr>
        <w:t>本规划报送审批前，</w:t>
      </w:r>
      <w:r>
        <w:rPr>
          <w:rFonts w:hint="eastAsia" w:ascii="宋体" w:hAnsi="宋体" w:eastAsia="宋体" w:cs="Times New Roman"/>
          <w:sz w:val="28"/>
          <w:szCs w:val="40"/>
          <w:lang w:val="en-US" w:eastAsia="zh-CN"/>
        </w:rPr>
        <w:t>大箐山县</w:t>
      </w:r>
      <w:r>
        <w:rPr>
          <w:rFonts w:hint="eastAsia" w:ascii="宋体" w:hAnsi="宋体" w:eastAsia="宋体" w:cs="Times New Roman"/>
          <w:sz w:val="28"/>
          <w:szCs w:val="40"/>
        </w:rPr>
        <w:t>自然资源局应依法将本规划予以公告，公告时间不得少于三十日，本规划自</w:t>
      </w:r>
      <w:r>
        <w:rPr>
          <w:rFonts w:hint="eastAsia" w:ascii="宋体" w:hAnsi="宋体" w:eastAsia="宋体" w:cs="Times New Roman"/>
          <w:sz w:val="28"/>
          <w:szCs w:val="40"/>
          <w:lang w:val="en-US" w:eastAsia="zh-CN"/>
        </w:rPr>
        <w:t>大箐山</w:t>
      </w:r>
      <w:r>
        <w:rPr>
          <w:rFonts w:hint="eastAsia" w:ascii="宋体" w:hAnsi="宋体" w:eastAsia="宋体" w:cs="Times New Roman"/>
          <w:sz w:val="28"/>
          <w:szCs w:val="40"/>
        </w:rPr>
        <w:t>县自然资源局批准之日起开始实施。</w:t>
      </w:r>
    </w:p>
    <w:p w14:paraId="04050196">
      <w:pPr>
        <w:spacing w:line="360" w:lineRule="auto"/>
        <w:ind w:firstLine="560"/>
        <w:jc w:val="left"/>
        <w:rPr>
          <w:rFonts w:ascii="黑体" w:hAnsi="黑体" w:cs="Times New Roman"/>
          <w:szCs w:val="28"/>
        </w:rPr>
      </w:pPr>
    </w:p>
    <w:p w14:paraId="4F1A8D84">
      <w:pPr>
        <w:spacing w:line="360" w:lineRule="auto"/>
        <w:ind w:firstLine="560"/>
        <w:jc w:val="left"/>
        <w:rPr>
          <w:rFonts w:ascii="黑体" w:hAnsi="黑体" w:cs="Times New Roman"/>
          <w:szCs w:val="28"/>
        </w:rPr>
      </w:pPr>
    </w:p>
    <w:p w14:paraId="48B3D95E">
      <w:pPr>
        <w:spacing w:line="360" w:lineRule="auto"/>
        <w:ind w:firstLine="560"/>
        <w:jc w:val="left"/>
        <w:rPr>
          <w:rFonts w:ascii="黑体" w:hAnsi="黑体" w:cs="Times New Roman"/>
          <w:szCs w:val="28"/>
        </w:rPr>
      </w:pPr>
    </w:p>
    <w:p w14:paraId="36A6D1E0">
      <w:pPr>
        <w:spacing w:line="360" w:lineRule="auto"/>
        <w:ind w:firstLine="560"/>
        <w:jc w:val="left"/>
        <w:rPr>
          <w:rFonts w:ascii="黑体" w:hAnsi="黑体" w:cs="Times New Roman"/>
          <w:szCs w:val="28"/>
        </w:rPr>
      </w:pPr>
    </w:p>
    <w:p w14:paraId="38CE5957">
      <w:pPr>
        <w:spacing w:line="360" w:lineRule="auto"/>
        <w:ind w:firstLine="560"/>
        <w:jc w:val="left"/>
        <w:rPr>
          <w:rFonts w:ascii="黑体" w:hAnsi="黑体" w:cs="Times New Roman"/>
          <w:szCs w:val="28"/>
        </w:rPr>
      </w:pPr>
    </w:p>
    <w:p w14:paraId="5F4625B6">
      <w:pPr>
        <w:spacing w:line="360" w:lineRule="auto"/>
        <w:ind w:firstLine="560"/>
        <w:jc w:val="left"/>
        <w:rPr>
          <w:rFonts w:ascii="黑体" w:hAnsi="黑体" w:cs="Times New Roman"/>
          <w:szCs w:val="28"/>
        </w:rPr>
      </w:pPr>
    </w:p>
    <w:p w14:paraId="21219F6B">
      <w:pPr>
        <w:spacing w:line="360" w:lineRule="auto"/>
        <w:ind w:firstLine="560"/>
        <w:jc w:val="left"/>
        <w:rPr>
          <w:rFonts w:ascii="黑体" w:hAnsi="黑体" w:cs="Times New Roman"/>
          <w:szCs w:val="28"/>
        </w:rPr>
      </w:pPr>
    </w:p>
    <w:p w14:paraId="21ED9FB8">
      <w:pPr>
        <w:spacing w:line="360" w:lineRule="auto"/>
        <w:ind w:firstLine="560"/>
        <w:jc w:val="left"/>
        <w:rPr>
          <w:rFonts w:ascii="黑体" w:hAnsi="黑体" w:cs="Times New Roman"/>
          <w:szCs w:val="28"/>
        </w:rPr>
      </w:pPr>
    </w:p>
    <w:p w14:paraId="289DAB0E">
      <w:pPr>
        <w:spacing w:line="360" w:lineRule="auto"/>
        <w:ind w:firstLine="560"/>
        <w:jc w:val="left"/>
        <w:rPr>
          <w:rFonts w:ascii="黑体" w:hAnsi="黑体" w:cs="Times New Roman"/>
          <w:szCs w:val="28"/>
        </w:rPr>
      </w:pPr>
    </w:p>
    <w:p w14:paraId="05473D49">
      <w:pPr>
        <w:spacing w:line="360" w:lineRule="auto"/>
        <w:ind w:firstLine="560"/>
        <w:jc w:val="left"/>
        <w:rPr>
          <w:rFonts w:ascii="黑体" w:hAnsi="黑体" w:cs="Times New Roman"/>
          <w:szCs w:val="28"/>
        </w:rPr>
      </w:pPr>
    </w:p>
    <w:p w14:paraId="1E210599">
      <w:pPr>
        <w:spacing w:line="360" w:lineRule="auto"/>
        <w:ind w:firstLine="560"/>
        <w:jc w:val="left"/>
        <w:rPr>
          <w:rFonts w:ascii="黑体" w:hAnsi="黑体" w:cs="Times New Roman"/>
          <w:szCs w:val="28"/>
        </w:rPr>
      </w:pPr>
    </w:p>
    <w:p w14:paraId="4E92EFCF">
      <w:pPr>
        <w:spacing w:line="360" w:lineRule="auto"/>
        <w:ind w:firstLine="560"/>
        <w:jc w:val="left"/>
        <w:rPr>
          <w:rFonts w:ascii="黑体" w:hAnsi="黑体" w:cs="Times New Roman"/>
          <w:szCs w:val="28"/>
        </w:rPr>
      </w:pPr>
    </w:p>
    <w:p w14:paraId="6DE58AC5">
      <w:pPr>
        <w:spacing w:line="360" w:lineRule="auto"/>
        <w:ind w:firstLine="560"/>
        <w:jc w:val="left"/>
        <w:rPr>
          <w:rFonts w:ascii="黑体" w:hAnsi="黑体" w:cs="Times New Roman"/>
          <w:szCs w:val="28"/>
        </w:rPr>
      </w:pPr>
    </w:p>
    <w:p w14:paraId="78C07961">
      <w:pPr>
        <w:spacing w:line="360" w:lineRule="auto"/>
        <w:ind w:firstLine="560"/>
        <w:jc w:val="left"/>
        <w:rPr>
          <w:rFonts w:ascii="黑体" w:hAnsi="黑体" w:cs="Times New Roman"/>
          <w:szCs w:val="28"/>
        </w:rPr>
      </w:pPr>
    </w:p>
    <w:p w14:paraId="32563B55">
      <w:pPr>
        <w:spacing w:line="360" w:lineRule="auto"/>
        <w:ind w:firstLine="560"/>
        <w:jc w:val="left"/>
        <w:rPr>
          <w:rFonts w:ascii="黑体" w:hAnsi="黑体" w:cs="Times New Roman"/>
          <w:szCs w:val="28"/>
        </w:rPr>
      </w:pPr>
    </w:p>
    <w:p w14:paraId="6E3B2463">
      <w:pPr>
        <w:spacing w:line="360" w:lineRule="auto"/>
        <w:ind w:firstLine="560"/>
        <w:jc w:val="left"/>
        <w:rPr>
          <w:rFonts w:ascii="黑体" w:hAnsi="黑体" w:cs="Times New Roman"/>
          <w:szCs w:val="28"/>
        </w:rPr>
      </w:pPr>
    </w:p>
    <w:p w14:paraId="14FC6FF7">
      <w:pPr>
        <w:spacing w:line="360" w:lineRule="auto"/>
        <w:ind w:firstLine="560"/>
        <w:jc w:val="left"/>
        <w:rPr>
          <w:rFonts w:ascii="黑体" w:hAnsi="黑体" w:cs="Times New Roman"/>
          <w:szCs w:val="28"/>
        </w:rPr>
      </w:pPr>
    </w:p>
    <w:p w14:paraId="1A20BCC0">
      <w:pPr>
        <w:spacing w:line="360" w:lineRule="auto"/>
        <w:ind w:firstLine="560"/>
        <w:jc w:val="left"/>
        <w:rPr>
          <w:rFonts w:ascii="黑体" w:hAnsi="黑体" w:cs="Times New Roman"/>
          <w:szCs w:val="28"/>
        </w:rPr>
      </w:pPr>
    </w:p>
    <w:p w14:paraId="3CA9C1A4">
      <w:pPr>
        <w:spacing w:line="360" w:lineRule="auto"/>
        <w:ind w:firstLine="560"/>
        <w:jc w:val="left"/>
        <w:rPr>
          <w:rFonts w:ascii="黑体" w:hAnsi="黑体" w:cs="Times New Roman"/>
          <w:szCs w:val="28"/>
        </w:rPr>
      </w:pPr>
    </w:p>
    <w:p w14:paraId="6D52D24E">
      <w:pPr>
        <w:spacing w:line="360" w:lineRule="auto"/>
        <w:ind w:firstLine="560"/>
        <w:jc w:val="left"/>
        <w:rPr>
          <w:rFonts w:ascii="黑体" w:hAnsi="黑体" w:cs="Times New Roman"/>
          <w:szCs w:val="28"/>
        </w:rPr>
      </w:pPr>
    </w:p>
    <w:p w14:paraId="39B0848E">
      <w:pPr>
        <w:spacing w:line="360" w:lineRule="auto"/>
        <w:ind w:firstLine="560"/>
        <w:jc w:val="left"/>
        <w:rPr>
          <w:rFonts w:ascii="黑体" w:hAnsi="黑体" w:cs="Times New Roman"/>
          <w:szCs w:val="28"/>
        </w:rPr>
      </w:pPr>
    </w:p>
    <w:p w14:paraId="5D00801C">
      <w:pPr>
        <w:spacing w:line="360" w:lineRule="auto"/>
        <w:ind w:firstLine="560"/>
        <w:jc w:val="left"/>
        <w:rPr>
          <w:rFonts w:ascii="黑体" w:hAnsi="黑体" w:cs="Times New Roman"/>
          <w:szCs w:val="28"/>
        </w:rPr>
      </w:pPr>
    </w:p>
    <w:p w14:paraId="1CB472D5">
      <w:pPr>
        <w:spacing w:line="360" w:lineRule="auto"/>
        <w:ind w:firstLine="560"/>
        <w:jc w:val="left"/>
        <w:rPr>
          <w:rFonts w:ascii="黑体" w:hAnsi="黑体" w:cs="Times New Roman"/>
          <w:szCs w:val="28"/>
        </w:rPr>
      </w:pPr>
    </w:p>
    <w:p w14:paraId="31BFBF2E">
      <w:pPr>
        <w:spacing w:line="360" w:lineRule="auto"/>
        <w:ind w:firstLine="560"/>
        <w:jc w:val="left"/>
        <w:rPr>
          <w:rFonts w:ascii="黑体" w:hAnsi="黑体" w:cs="Times New Roman"/>
          <w:szCs w:val="28"/>
        </w:rPr>
      </w:pPr>
    </w:p>
    <w:p w14:paraId="34151323">
      <w:pPr>
        <w:pStyle w:val="2"/>
        <w:spacing w:before="120" w:after="120" w:line="360" w:lineRule="auto"/>
        <w:ind w:firstLine="723"/>
        <w:jc w:val="left"/>
      </w:pPr>
      <w:bookmarkStart w:id="16" w:name="_Toc25902"/>
      <w:bookmarkStart w:id="17" w:name="_Toc462414915"/>
      <w:r>
        <w:rPr>
          <w:rFonts w:hint="eastAsia"/>
        </w:rPr>
        <w:t>附 表</w:t>
      </w:r>
      <w:bookmarkEnd w:id="16"/>
      <w:bookmarkEnd w:id="17"/>
    </w:p>
    <w:p w14:paraId="77961694">
      <w:pPr>
        <w:ind w:firstLine="364" w:firstLineChars="152"/>
        <w:jc w:val="center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 xml:space="preserve"> </w:t>
      </w:r>
      <w:r>
        <w:rPr>
          <w:rFonts w:ascii="宋体" w:hAnsi="宋体" w:eastAsia="宋体" w:cs="Times New Roman"/>
          <w:sz w:val="24"/>
          <w:szCs w:val="24"/>
        </w:rPr>
        <w:t>控制指标一览表</w:t>
      </w:r>
    </w:p>
    <w:tbl>
      <w:tblPr>
        <w:tblStyle w:val="20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824"/>
        <w:gridCol w:w="1060"/>
        <w:gridCol w:w="951"/>
        <w:gridCol w:w="993"/>
        <w:gridCol w:w="850"/>
        <w:gridCol w:w="851"/>
        <w:gridCol w:w="1274"/>
        <w:gridCol w:w="976"/>
        <w:gridCol w:w="976"/>
      </w:tblGrid>
      <w:tr w14:paraId="4F5325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12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1ACFF60">
            <w:pPr>
              <w:jc w:val="center"/>
              <w:rPr>
                <w:rFonts w:ascii="宋体" w:hAnsi="宋体" w:eastAsia="宋体"/>
                <w:b/>
                <w:sz w:val="22"/>
              </w:rPr>
            </w:pPr>
            <w:bookmarkStart w:id="18" w:name="RANGE!A1:F66"/>
            <w:r>
              <w:rPr>
                <w:rFonts w:hint="eastAsia" w:ascii="宋体" w:hAnsi="宋体" w:eastAsia="宋体"/>
                <w:b/>
                <w:sz w:val="22"/>
              </w:rPr>
              <w:t>地块编号</w:t>
            </w:r>
            <w:bookmarkEnd w:id="18"/>
          </w:p>
        </w:tc>
        <w:tc>
          <w:tcPr>
            <w:tcW w:w="8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CDCBC9">
            <w:pPr>
              <w:jc w:val="center"/>
              <w:rPr>
                <w:rFonts w:ascii="宋体" w:hAnsi="宋体" w:eastAsia="宋体"/>
                <w:b/>
                <w:sz w:val="22"/>
              </w:rPr>
            </w:pPr>
            <w:r>
              <w:rPr>
                <w:rFonts w:hint="eastAsia" w:ascii="宋体" w:hAnsi="宋体" w:eastAsia="宋体"/>
                <w:b/>
                <w:sz w:val="22"/>
              </w:rPr>
              <w:t>用地性质</w:t>
            </w:r>
          </w:p>
        </w:tc>
        <w:tc>
          <w:tcPr>
            <w:tcW w:w="106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60FA38D">
            <w:pPr>
              <w:jc w:val="center"/>
              <w:rPr>
                <w:rFonts w:ascii="宋体" w:hAnsi="宋体" w:eastAsia="宋体"/>
                <w:b/>
                <w:sz w:val="22"/>
              </w:rPr>
            </w:pPr>
            <w:r>
              <w:rPr>
                <w:rFonts w:hint="eastAsia" w:ascii="宋体" w:hAnsi="宋体" w:eastAsia="宋体"/>
                <w:b/>
                <w:sz w:val="22"/>
              </w:rPr>
              <w:t>名称</w:t>
            </w:r>
          </w:p>
        </w:tc>
        <w:tc>
          <w:tcPr>
            <w:tcW w:w="951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0247A4">
            <w:pPr>
              <w:jc w:val="center"/>
              <w:rPr>
                <w:rFonts w:ascii="宋体" w:hAnsi="宋体" w:eastAsia="宋体"/>
                <w:b/>
                <w:sz w:val="22"/>
              </w:rPr>
            </w:pPr>
            <w:r>
              <w:rPr>
                <w:rFonts w:hint="eastAsia" w:ascii="宋体" w:hAnsi="宋体" w:eastAsia="宋体"/>
                <w:b/>
                <w:sz w:val="22"/>
              </w:rPr>
              <w:t>用地面积</w:t>
            </w:r>
          </w:p>
          <w:p w14:paraId="3F833C3D">
            <w:pPr>
              <w:jc w:val="center"/>
              <w:rPr>
                <w:rFonts w:ascii="宋体" w:hAnsi="宋体" w:eastAsia="宋体"/>
                <w:b/>
                <w:sz w:val="22"/>
              </w:rPr>
            </w:pPr>
            <w:r>
              <w:rPr>
                <w:rFonts w:hint="eastAsia" w:ascii="宋体" w:hAnsi="宋体" w:eastAsia="宋体"/>
                <w:b/>
                <w:sz w:val="22"/>
              </w:rPr>
              <w:t>（平方米）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8AACBF3">
            <w:pPr>
              <w:jc w:val="center"/>
              <w:rPr>
                <w:rFonts w:ascii="宋体" w:hAnsi="宋体" w:eastAsia="宋体"/>
                <w:b/>
                <w:sz w:val="22"/>
              </w:rPr>
            </w:pPr>
            <w:r>
              <w:rPr>
                <w:rFonts w:hint="eastAsia" w:ascii="宋体" w:hAnsi="宋体" w:eastAsia="宋体"/>
                <w:b/>
                <w:sz w:val="22"/>
              </w:rPr>
              <w:t>容积率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5EF04F">
            <w:pPr>
              <w:jc w:val="center"/>
              <w:rPr>
                <w:rFonts w:ascii="宋体" w:hAnsi="宋体" w:eastAsia="宋体"/>
                <w:b/>
                <w:sz w:val="22"/>
              </w:rPr>
            </w:pPr>
            <w:r>
              <w:rPr>
                <w:rFonts w:hint="eastAsia" w:ascii="宋体" w:hAnsi="宋体" w:eastAsia="宋体"/>
                <w:b/>
                <w:sz w:val="22"/>
              </w:rPr>
              <w:t>建筑密度（%）</w:t>
            </w:r>
          </w:p>
        </w:tc>
        <w:tc>
          <w:tcPr>
            <w:tcW w:w="851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435E808">
            <w:pPr>
              <w:jc w:val="center"/>
              <w:rPr>
                <w:rFonts w:ascii="宋体" w:hAnsi="宋体" w:eastAsia="宋体"/>
                <w:b/>
                <w:sz w:val="22"/>
              </w:rPr>
            </w:pPr>
            <w:r>
              <w:rPr>
                <w:rFonts w:hint="eastAsia" w:ascii="宋体" w:hAnsi="宋体" w:eastAsia="宋体"/>
                <w:b/>
                <w:sz w:val="22"/>
              </w:rPr>
              <w:t>绿地率（%）</w:t>
            </w:r>
          </w:p>
        </w:tc>
        <w:tc>
          <w:tcPr>
            <w:tcW w:w="1274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B3047F8">
            <w:pPr>
              <w:jc w:val="center"/>
              <w:rPr>
                <w:rFonts w:ascii="宋体" w:hAnsi="宋体" w:eastAsia="宋体"/>
                <w:b/>
                <w:sz w:val="22"/>
              </w:rPr>
            </w:pPr>
            <w:r>
              <w:rPr>
                <w:rFonts w:hint="eastAsia" w:ascii="宋体" w:hAnsi="宋体" w:eastAsia="宋体"/>
                <w:b/>
                <w:sz w:val="22"/>
              </w:rPr>
              <w:t>建筑限高</w:t>
            </w:r>
          </w:p>
          <w:p w14:paraId="0C093F86">
            <w:pPr>
              <w:jc w:val="center"/>
              <w:rPr>
                <w:rFonts w:ascii="宋体" w:hAnsi="宋体" w:eastAsia="宋体"/>
                <w:b/>
                <w:sz w:val="22"/>
              </w:rPr>
            </w:pPr>
            <w:r>
              <w:rPr>
                <w:rFonts w:hint="eastAsia" w:ascii="宋体" w:hAnsi="宋体" w:eastAsia="宋体"/>
                <w:b/>
                <w:sz w:val="22"/>
              </w:rPr>
              <w:t>(米)</w:t>
            </w:r>
          </w:p>
        </w:tc>
        <w:tc>
          <w:tcPr>
            <w:tcW w:w="976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633C293">
            <w:pPr>
              <w:jc w:val="center"/>
              <w:rPr>
                <w:rFonts w:ascii="宋体" w:hAnsi="宋体" w:eastAsia="宋体"/>
                <w:b/>
                <w:sz w:val="22"/>
              </w:rPr>
            </w:pPr>
            <w:r>
              <w:rPr>
                <w:rFonts w:hint="eastAsia" w:ascii="宋体" w:hAnsi="宋体" w:eastAsia="宋体"/>
                <w:b/>
                <w:sz w:val="22"/>
                <w:lang w:val="en-US" w:eastAsia="zh-CN"/>
              </w:rPr>
              <w:t>出入口方位</w:t>
            </w:r>
          </w:p>
        </w:tc>
        <w:tc>
          <w:tcPr>
            <w:tcW w:w="976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ABC4643">
            <w:pPr>
              <w:jc w:val="center"/>
              <w:rPr>
                <w:rFonts w:hint="eastAsia" w:ascii="宋体" w:hAnsi="宋体" w:eastAsia="宋体"/>
                <w:b/>
                <w:sz w:val="22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2"/>
                <w:lang w:val="en-US" w:eastAsia="zh-CN"/>
              </w:rPr>
              <w:t>备注</w:t>
            </w:r>
          </w:p>
        </w:tc>
      </w:tr>
      <w:tr w14:paraId="7D7294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12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C5BB09">
            <w:pPr>
              <w:jc w:val="center"/>
              <w:rPr>
                <w:b/>
                <w:sz w:val="24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3A52F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代码</w:t>
            </w:r>
          </w:p>
        </w:tc>
        <w:tc>
          <w:tcPr>
            <w:tcW w:w="106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08C79A">
            <w:pPr>
              <w:jc w:val="center"/>
              <w:rPr>
                <w:b/>
                <w:sz w:val="24"/>
              </w:rPr>
            </w:pPr>
          </w:p>
        </w:tc>
        <w:tc>
          <w:tcPr>
            <w:tcW w:w="95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2DE260D">
            <w:pPr>
              <w:jc w:val="center"/>
              <w:rPr>
                <w:b/>
                <w:sz w:val="24"/>
              </w:rPr>
            </w:pPr>
          </w:p>
        </w:tc>
        <w:tc>
          <w:tcPr>
            <w:tcW w:w="99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F66A905">
            <w:pPr>
              <w:jc w:val="center"/>
              <w:rPr>
                <w:b/>
                <w:sz w:val="24"/>
              </w:rPr>
            </w:pPr>
          </w:p>
        </w:tc>
        <w:tc>
          <w:tcPr>
            <w:tcW w:w="85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06F1F07">
            <w:pPr>
              <w:jc w:val="center"/>
              <w:rPr>
                <w:b/>
                <w:sz w:val="24"/>
              </w:rPr>
            </w:pPr>
          </w:p>
        </w:tc>
        <w:tc>
          <w:tcPr>
            <w:tcW w:w="85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2060CD6">
            <w:pPr>
              <w:jc w:val="center"/>
              <w:rPr>
                <w:b/>
                <w:sz w:val="24"/>
              </w:rPr>
            </w:pPr>
          </w:p>
        </w:tc>
        <w:tc>
          <w:tcPr>
            <w:tcW w:w="1274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27378B">
            <w:pPr>
              <w:jc w:val="center"/>
              <w:rPr>
                <w:b/>
                <w:sz w:val="24"/>
              </w:rPr>
            </w:pPr>
          </w:p>
        </w:tc>
        <w:tc>
          <w:tcPr>
            <w:tcW w:w="976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48AD7F0">
            <w:pPr>
              <w:jc w:val="center"/>
              <w:rPr>
                <w:b/>
                <w:sz w:val="24"/>
              </w:rPr>
            </w:pPr>
          </w:p>
        </w:tc>
        <w:tc>
          <w:tcPr>
            <w:tcW w:w="976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D8B098C">
            <w:pPr>
              <w:jc w:val="center"/>
              <w:rPr>
                <w:b/>
                <w:sz w:val="24"/>
              </w:rPr>
            </w:pPr>
          </w:p>
        </w:tc>
      </w:tr>
      <w:tr w14:paraId="0B8894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1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FBC81C9">
            <w:pPr>
              <w:jc w:val="center"/>
              <w:rPr>
                <w:rFonts w:hint="default" w:eastAsia="黑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101011-01-1202</w:t>
            </w: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CBD6C1">
            <w:pPr>
              <w:jc w:val="center"/>
              <w:rPr>
                <w:rFonts w:hint="default" w:eastAsia="黑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1209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FAA90B">
            <w:pPr>
              <w:jc w:val="center"/>
              <w:rPr>
                <w:rFonts w:hint="default" w:eastAsia="黑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其他交通设施用地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E33D973">
            <w:pPr>
              <w:jc w:val="center"/>
              <w:rPr>
                <w:rFonts w:hint="default" w:eastAsia="黑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2500.00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629CB1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——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60578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70A450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——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0073B3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——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076A73B">
            <w:pPr>
              <w:jc w:val="center"/>
              <w:rPr>
                <w:rFonts w:hint="eastAsia" w:eastAsia="黑体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西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2FA79DF">
            <w:pPr>
              <w:jc w:val="center"/>
              <w:rPr>
                <w:sz w:val="24"/>
              </w:rPr>
            </w:pPr>
          </w:p>
        </w:tc>
      </w:tr>
    </w:tbl>
    <w:p w14:paraId="55DD78B9">
      <w:pPr>
        <w:ind w:firstLine="364" w:firstLineChars="152"/>
        <w:jc w:val="center"/>
        <w:rPr>
          <w:rFonts w:ascii="宋体" w:hAnsi="宋体" w:eastAsia="宋体" w:cs="Times New Roman"/>
          <w:sz w:val="24"/>
          <w:szCs w:val="24"/>
        </w:rPr>
      </w:pPr>
    </w:p>
    <w:p w14:paraId="01746544">
      <w:pPr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备注</w:t>
      </w:r>
      <w:r>
        <w:rPr>
          <w:rFonts w:ascii="宋体" w:hAnsi="宋体" w:eastAsia="宋体" w:cs="Times New Roman"/>
          <w:sz w:val="24"/>
          <w:szCs w:val="24"/>
        </w:rPr>
        <w:t>：</w:t>
      </w:r>
    </w:p>
    <w:p w14:paraId="36526F63"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1.本项目地块内无建筑物、构筑物，图中不划定建筑退让线。</w:t>
      </w:r>
    </w:p>
    <w:p w14:paraId="71BA04FA"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2.尺寸标注单位为m。</w:t>
      </w:r>
    </w:p>
    <w:p w14:paraId="5288D21F"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3.具体定位采用2000国家大地坐标系。</w:t>
      </w:r>
    </w:p>
    <w:p w14:paraId="3ED6799D"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4.本项目用地范围由当地自然资源部门提供,最终以当地自然资源部门实际审批为准。</w:t>
      </w:r>
    </w:p>
    <w:p w14:paraId="7339E740"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5.本地块现状建筑情况以测绘图为准。</w:t>
      </w:r>
    </w:p>
    <w:p w14:paraId="62907884">
      <w:pPr>
        <w:widowControl/>
        <w:rPr>
          <w:rFonts w:ascii="黑体" w:hAnsi="黑体"/>
          <w:sz w:val="36"/>
          <w:szCs w:val="44"/>
        </w:rPr>
      </w:pPr>
    </w:p>
    <w:p w14:paraId="5B6C597C">
      <w:pPr>
        <w:widowControl/>
        <w:rPr>
          <w:rFonts w:ascii="黑体" w:hAnsi="黑体"/>
          <w:sz w:val="36"/>
          <w:szCs w:val="44"/>
        </w:rPr>
      </w:pPr>
    </w:p>
    <w:p w14:paraId="66B1DBB6">
      <w:pPr>
        <w:widowControl/>
        <w:rPr>
          <w:rFonts w:ascii="黑体" w:hAnsi="黑体"/>
          <w:sz w:val="36"/>
          <w:szCs w:val="44"/>
        </w:rPr>
      </w:pPr>
    </w:p>
    <w:p w14:paraId="5046C403">
      <w:pPr>
        <w:widowControl/>
        <w:rPr>
          <w:rFonts w:ascii="黑体" w:hAnsi="黑体"/>
          <w:sz w:val="36"/>
          <w:szCs w:val="44"/>
        </w:rPr>
      </w:pPr>
    </w:p>
    <w:p w14:paraId="45DA7A56">
      <w:pPr>
        <w:widowControl/>
        <w:rPr>
          <w:rFonts w:ascii="黑体" w:hAnsi="黑体"/>
          <w:sz w:val="36"/>
          <w:szCs w:val="44"/>
        </w:rPr>
      </w:pPr>
    </w:p>
    <w:p w14:paraId="69940783">
      <w:pPr>
        <w:widowControl/>
        <w:rPr>
          <w:rFonts w:ascii="黑体" w:hAnsi="黑体"/>
          <w:sz w:val="36"/>
          <w:szCs w:val="44"/>
        </w:rPr>
      </w:pPr>
    </w:p>
    <w:p w14:paraId="6EF1175C">
      <w:pPr>
        <w:widowControl/>
        <w:rPr>
          <w:rFonts w:ascii="黑体" w:hAnsi="黑体"/>
          <w:sz w:val="36"/>
          <w:szCs w:val="44"/>
        </w:rPr>
      </w:pPr>
    </w:p>
    <w:p w14:paraId="321A1E68">
      <w:pPr>
        <w:widowControl/>
        <w:rPr>
          <w:rFonts w:ascii="黑体" w:hAnsi="黑体"/>
          <w:sz w:val="36"/>
          <w:szCs w:val="44"/>
        </w:rPr>
      </w:pPr>
    </w:p>
    <w:sectPr>
      <w:footerReference r:id="rId10" w:type="first"/>
      <w:footerReference r:id="rId9" w:type="default"/>
      <w:type w:val="nextColumn"/>
      <w:pgSz w:w="23814" w:h="16840"/>
      <w:pgMar w:top="1440" w:right="1800" w:bottom="1440" w:left="1800" w:header="851" w:footer="992" w:gutter="0"/>
      <w:pgNumType w:start="1"/>
      <w:cols w:space="570" w:num="2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E6A618">
    <w:pPr>
      <w:pStyle w:val="12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D11609">
    <w:pPr>
      <w:pStyle w:val="1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1ED52A">
    <w:pPr>
      <w:pStyle w:val="12"/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7475429"/>
      <w:docPartObj>
        <w:docPartGallery w:val="autotext"/>
      </w:docPartObj>
    </w:sdtPr>
    <w:sdtContent>
      <w:p w14:paraId="63471061"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0FA877FB">
    <w:pPr>
      <w:pStyle w:val="12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54975317"/>
      <w:docPartObj>
        <w:docPartGallery w:val="autotext"/>
      </w:docPartObj>
    </w:sdtPr>
    <w:sdtContent>
      <w:p w14:paraId="31FA0CB4"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682ED745">
    <w:pPr>
      <w:pStyle w:val="12"/>
      <w:jc w:val="center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F575A8">
    <w:pPr>
      <w:pStyle w:val="12"/>
      <w:jc w:val="center"/>
    </w:pPr>
    <w:r>
      <w:rPr>
        <w:rFonts w:hint="eastAsia"/>
      </w:rPr>
      <w:t>1</w:t>
    </w:r>
  </w:p>
  <w:p w14:paraId="53AF8792">
    <w:pPr>
      <w:pStyle w:val="1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1FEFA9">
    <w:pPr>
      <w:pStyle w:val="1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BAEAC3">
    <w:pPr>
      <w:pStyle w:val="1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153"/>
    <w:rsid w:val="000063E1"/>
    <w:rsid w:val="00011FE2"/>
    <w:rsid w:val="000136A0"/>
    <w:rsid w:val="0002346C"/>
    <w:rsid w:val="00032F29"/>
    <w:rsid w:val="00034793"/>
    <w:rsid w:val="00043903"/>
    <w:rsid w:val="00047F5E"/>
    <w:rsid w:val="00076772"/>
    <w:rsid w:val="000A571A"/>
    <w:rsid w:val="000A646D"/>
    <w:rsid w:val="000C734D"/>
    <w:rsid w:val="000E3CBD"/>
    <w:rsid w:val="001075D4"/>
    <w:rsid w:val="001145E4"/>
    <w:rsid w:val="00154915"/>
    <w:rsid w:val="00163BF0"/>
    <w:rsid w:val="00171566"/>
    <w:rsid w:val="00174855"/>
    <w:rsid w:val="00174D70"/>
    <w:rsid w:val="00184D00"/>
    <w:rsid w:val="00186BD5"/>
    <w:rsid w:val="00197192"/>
    <w:rsid w:val="001D5A33"/>
    <w:rsid w:val="001D6A03"/>
    <w:rsid w:val="001D79EB"/>
    <w:rsid w:val="001F4560"/>
    <w:rsid w:val="00226D0A"/>
    <w:rsid w:val="00226E6F"/>
    <w:rsid w:val="00251990"/>
    <w:rsid w:val="00267FD0"/>
    <w:rsid w:val="00270082"/>
    <w:rsid w:val="002842E9"/>
    <w:rsid w:val="00296892"/>
    <w:rsid w:val="002C2908"/>
    <w:rsid w:val="002E0861"/>
    <w:rsid w:val="003402FC"/>
    <w:rsid w:val="00346918"/>
    <w:rsid w:val="00363025"/>
    <w:rsid w:val="003652AA"/>
    <w:rsid w:val="0036570B"/>
    <w:rsid w:val="00370F66"/>
    <w:rsid w:val="00386325"/>
    <w:rsid w:val="00390413"/>
    <w:rsid w:val="00397D3F"/>
    <w:rsid w:val="003A0928"/>
    <w:rsid w:val="003B1DE4"/>
    <w:rsid w:val="003C3EE0"/>
    <w:rsid w:val="003D2683"/>
    <w:rsid w:val="003D4A8B"/>
    <w:rsid w:val="0040158C"/>
    <w:rsid w:val="00404948"/>
    <w:rsid w:val="00412D75"/>
    <w:rsid w:val="0043388A"/>
    <w:rsid w:val="004632B1"/>
    <w:rsid w:val="00475ECC"/>
    <w:rsid w:val="00496066"/>
    <w:rsid w:val="004977A6"/>
    <w:rsid w:val="004D62B4"/>
    <w:rsid w:val="004E0B9B"/>
    <w:rsid w:val="00510865"/>
    <w:rsid w:val="005127B4"/>
    <w:rsid w:val="005266DD"/>
    <w:rsid w:val="005366F6"/>
    <w:rsid w:val="00560A6C"/>
    <w:rsid w:val="00562761"/>
    <w:rsid w:val="005633E4"/>
    <w:rsid w:val="00563CB4"/>
    <w:rsid w:val="00565C72"/>
    <w:rsid w:val="005675D1"/>
    <w:rsid w:val="0058113B"/>
    <w:rsid w:val="00581B66"/>
    <w:rsid w:val="00592D59"/>
    <w:rsid w:val="005B3F9C"/>
    <w:rsid w:val="005D0CC3"/>
    <w:rsid w:val="005F44C2"/>
    <w:rsid w:val="005F4772"/>
    <w:rsid w:val="00602620"/>
    <w:rsid w:val="006031C0"/>
    <w:rsid w:val="00622D88"/>
    <w:rsid w:val="00625FDC"/>
    <w:rsid w:val="006310A6"/>
    <w:rsid w:val="00632657"/>
    <w:rsid w:val="006337EF"/>
    <w:rsid w:val="0066238D"/>
    <w:rsid w:val="00665090"/>
    <w:rsid w:val="00676E7D"/>
    <w:rsid w:val="00682B97"/>
    <w:rsid w:val="00683A8A"/>
    <w:rsid w:val="00687B87"/>
    <w:rsid w:val="00692074"/>
    <w:rsid w:val="006B20F6"/>
    <w:rsid w:val="006B552F"/>
    <w:rsid w:val="006C449F"/>
    <w:rsid w:val="006D5FCF"/>
    <w:rsid w:val="006D70D2"/>
    <w:rsid w:val="00710F75"/>
    <w:rsid w:val="007368F0"/>
    <w:rsid w:val="0076183B"/>
    <w:rsid w:val="007854DB"/>
    <w:rsid w:val="007A1C8A"/>
    <w:rsid w:val="007D6719"/>
    <w:rsid w:val="007F4311"/>
    <w:rsid w:val="00804955"/>
    <w:rsid w:val="00825D0E"/>
    <w:rsid w:val="008273AF"/>
    <w:rsid w:val="008442A5"/>
    <w:rsid w:val="00846AB5"/>
    <w:rsid w:val="0085459B"/>
    <w:rsid w:val="00874EA8"/>
    <w:rsid w:val="00876209"/>
    <w:rsid w:val="008823F8"/>
    <w:rsid w:val="008C1CC5"/>
    <w:rsid w:val="008D3F45"/>
    <w:rsid w:val="008D46C5"/>
    <w:rsid w:val="008E6BB8"/>
    <w:rsid w:val="008E7DB5"/>
    <w:rsid w:val="008F2444"/>
    <w:rsid w:val="008F67EE"/>
    <w:rsid w:val="0090197D"/>
    <w:rsid w:val="00912BF4"/>
    <w:rsid w:val="009135B0"/>
    <w:rsid w:val="0091487F"/>
    <w:rsid w:val="00943ED8"/>
    <w:rsid w:val="009611D9"/>
    <w:rsid w:val="00972F2D"/>
    <w:rsid w:val="00975E06"/>
    <w:rsid w:val="009777A5"/>
    <w:rsid w:val="0099151D"/>
    <w:rsid w:val="009B076E"/>
    <w:rsid w:val="009C2BFC"/>
    <w:rsid w:val="009D453A"/>
    <w:rsid w:val="009D57D5"/>
    <w:rsid w:val="009E74F1"/>
    <w:rsid w:val="009F08F8"/>
    <w:rsid w:val="00A0344E"/>
    <w:rsid w:val="00A16348"/>
    <w:rsid w:val="00A241FA"/>
    <w:rsid w:val="00A27294"/>
    <w:rsid w:val="00A31566"/>
    <w:rsid w:val="00A407F0"/>
    <w:rsid w:val="00A51BE6"/>
    <w:rsid w:val="00A550C5"/>
    <w:rsid w:val="00A95B80"/>
    <w:rsid w:val="00A961DB"/>
    <w:rsid w:val="00AA0733"/>
    <w:rsid w:val="00AC102C"/>
    <w:rsid w:val="00AC6BA1"/>
    <w:rsid w:val="00AC75B5"/>
    <w:rsid w:val="00AD1025"/>
    <w:rsid w:val="00AE1B60"/>
    <w:rsid w:val="00AE6F91"/>
    <w:rsid w:val="00B05B7A"/>
    <w:rsid w:val="00B230F9"/>
    <w:rsid w:val="00B34B8A"/>
    <w:rsid w:val="00B402DC"/>
    <w:rsid w:val="00B54893"/>
    <w:rsid w:val="00B655C7"/>
    <w:rsid w:val="00B71361"/>
    <w:rsid w:val="00B73EA2"/>
    <w:rsid w:val="00B8430C"/>
    <w:rsid w:val="00B93961"/>
    <w:rsid w:val="00B9487A"/>
    <w:rsid w:val="00BA5677"/>
    <w:rsid w:val="00BB5D4B"/>
    <w:rsid w:val="00BD2844"/>
    <w:rsid w:val="00BD50CB"/>
    <w:rsid w:val="00C332AA"/>
    <w:rsid w:val="00C55D51"/>
    <w:rsid w:val="00C74782"/>
    <w:rsid w:val="00C81175"/>
    <w:rsid w:val="00C9101C"/>
    <w:rsid w:val="00C91EF5"/>
    <w:rsid w:val="00C96916"/>
    <w:rsid w:val="00CA0E9D"/>
    <w:rsid w:val="00CB3804"/>
    <w:rsid w:val="00CC48B5"/>
    <w:rsid w:val="00CE3D67"/>
    <w:rsid w:val="00CE64CF"/>
    <w:rsid w:val="00CF6A37"/>
    <w:rsid w:val="00D134F6"/>
    <w:rsid w:val="00D14630"/>
    <w:rsid w:val="00D20756"/>
    <w:rsid w:val="00D217B9"/>
    <w:rsid w:val="00D225B0"/>
    <w:rsid w:val="00D377D4"/>
    <w:rsid w:val="00D42E4D"/>
    <w:rsid w:val="00D525A6"/>
    <w:rsid w:val="00D55DCB"/>
    <w:rsid w:val="00D80694"/>
    <w:rsid w:val="00D86CE7"/>
    <w:rsid w:val="00D925E2"/>
    <w:rsid w:val="00D941D8"/>
    <w:rsid w:val="00DB4B59"/>
    <w:rsid w:val="00DE3665"/>
    <w:rsid w:val="00DF34C5"/>
    <w:rsid w:val="00E006F7"/>
    <w:rsid w:val="00E25C28"/>
    <w:rsid w:val="00E33F23"/>
    <w:rsid w:val="00E40BE6"/>
    <w:rsid w:val="00E412E9"/>
    <w:rsid w:val="00E57F33"/>
    <w:rsid w:val="00E6178E"/>
    <w:rsid w:val="00E76560"/>
    <w:rsid w:val="00E861B7"/>
    <w:rsid w:val="00EB0153"/>
    <w:rsid w:val="00EC649C"/>
    <w:rsid w:val="00ED7991"/>
    <w:rsid w:val="00EE694F"/>
    <w:rsid w:val="00F0698F"/>
    <w:rsid w:val="00F10579"/>
    <w:rsid w:val="00F22EB2"/>
    <w:rsid w:val="00F56227"/>
    <w:rsid w:val="00F662A4"/>
    <w:rsid w:val="00F741C3"/>
    <w:rsid w:val="00F74909"/>
    <w:rsid w:val="00F90FB3"/>
    <w:rsid w:val="00F970CB"/>
    <w:rsid w:val="00FA3423"/>
    <w:rsid w:val="00FD09D5"/>
    <w:rsid w:val="00FD5798"/>
    <w:rsid w:val="00FE777B"/>
    <w:rsid w:val="31AF01AD"/>
    <w:rsid w:val="34AB55B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黑体" w:asciiTheme="minorHAnsi" w:hAnsiTheme="minorHAnsi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0"/>
    <w:pPr>
      <w:keepNext/>
      <w:keepLines/>
      <w:spacing w:before="340" w:after="330" w:line="578" w:lineRule="auto"/>
      <w:jc w:val="center"/>
      <w:outlineLvl w:val="0"/>
    </w:pPr>
    <w:rPr>
      <w:rFonts w:ascii="Times New Roman" w:hAnsi="Times New Roman" w:cs="Times New Roman"/>
      <w:b/>
      <w:bCs/>
      <w:kern w:val="44"/>
      <w:sz w:val="36"/>
      <w:szCs w:val="44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cstheme="majorBidi"/>
      <w:bCs/>
      <w:sz w:val="28"/>
      <w:szCs w:val="32"/>
    </w:rPr>
  </w:style>
  <w:style w:type="paragraph" w:styleId="4">
    <w:name w:val="heading 3"/>
    <w:basedOn w:val="1"/>
    <w:next w:val="1"/>
    <w:link w:val="31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22">
    <w:name w:val="Default Paragraph Font"/>
    <w:semiHidden/>
    <w:unhideWhenUsed/>
    <w:qFormat/>
    <w:uiPriority w:val="1"/>
  </w:style>
  <w:style w:type="table" w:default="1" w:styleId="2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7"/>
    <w:basedOn w:val="1"/>
    <w:next w:val="1"/>
    <w:autoRedefine/>
    <w:unhideWhenUsed/>
    <w:qFormat/>
    <w:uiPriority w:val="39"/>
    <w:pPr>
      <w:ind w:left="1260"/>
      <w:jc w:val="left"/>
    </w:pPr>
    <w:rPr>
      <w:rFonts w:cstheme="minorHAnsi"/>
      <w:sz w:val="18"/>
      <w:szCs w:val="18"/>
    </w:rPr>
  </w:style>
  <w:style w:type="paragraph" w:styleId="6">
    <w:name w:val="Document Map"/>
    <w:basedOn w:val="1"/>
    <w:link w:val="36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7">
    <w:name w:val="toc 5"/>
    <w:basedOn w:val="1"/>
    <w:next w:val="1"/>
    <w:autoRedefine/>
    <w:unhideWhenUsed/>
    <w:qFormat/>
    <w:uiPriority w:val="39"/>
    <w:pPr>
      <w:ind w:left="840"/>
      <w:jc w:val="left"/>
    </w:pPr>
    <w:rPr>
      <w:rFonts w:cstheme="minorHAnsi"/>
      <w:sz w:val="18"/>
      <w:szCs w:val="18"/>
    </w:rPr>
  </w:style>
  <w:style w:type="paragraph" w:styleId="8">
    <w:name w:val="toc 3"/>
    <w:basedOn w:val="1"/>
    <w:next w:val="1"/>
    <w:autoRedefine/>
    <w:unhideWhenUsed/>
    <w:qFormat/>
    <w:uiPriority w:val="39"/>
    <w:pPr>
      <w:ind w:left="420"/>
      <w:jc w:val="left"/>
    </w:pPr>
    <w:rPr>
      <w:rFonts w:cstheme="minorHAnsi"/>
      <w:i/>
      <w:iCs/>
      <w:sz w:val="20"/>
      <w:szCs w:val="20"/>
    </w:rPr>
  </w:style>
  <w:style w:type="paragraph" w:styleId="9">
    <w:name w:val="Plain Text"/>
    <w:basedOn w:val="1"/>
    <w:link w:val="34"/>
    <w:qFormat/>
    <w:uiPriority w:val="0"/>
    <w:pPr>
      <w:spacing w:line="312" w:lineRule="auto"/>
      <w:ind w:firstLine="200" w:firstLineChars="200"/>
    </w:pPr>
    <w:rPr>
      <w:rFonts w:ascii="宋体" w:hAnsi="Courier New" w:eastAsia="宋体" w:cs="Courier New"/>
      <w:sz w:val="24"/>
      <w:szCs w:val="21"/>
    </w:rPr>
  </w:style>
  <w:style w:type="paragraph" w:styleId="10">
    <w:name w:val="toc 8"/>
    <w:basedOn w:val="1"/>
    <w:next w:val="1"/>
    <w:autoRedefine/>
    <w:unhideWhenUsed/>
    <w:qFormat/>
    <w:uiPriority w:val="39"/>
    <w:pPr>
      <w:ind w:left="1470"/>
      <w:jc w:val="left"/>
    </w:pPr>
    <w:rPr>
      <w:rFonts w:cstheme="minorHAnsi"/>
      <w:sz w:val="18"/>
      <w:szCs w:val="18"/>
    </w:rPr>
  </w:style>
  <w:style w:type="paragraph" w:styleId="11">
    <w:name w:val="Balloon Text"/>
    <w:basedOn w:val="1"/>
    <w:link w:val="35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2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3">
    <w:name w:val="header"/>
    <w:basedOn w:val="1"/>
    <w:link w:val="2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toc 1"/>
    <w:basedOn w:val="1"/>
    <w:next w:val="1"/>
    <w:autoRedefine/>
    <w:unhideWhenUsed/>
    <w:qFormat/>
    <w:uiPriority w:val="39"/>
    <w:pPr>
      <w:tabs>
        <w:tab w:val="right" w:leader="dot" w:pos="8296"/>
      </w:tabs>
      <w:jc w:val="left"/>
    </w:pPr>
    <w:rPr>
      <w:rFonts w:cstheme="minorHAnsi"/>
      <w:b/>
      <w:bCs/>
      <w:caps/>
      <w:sz w:val="20"/>
      <w:szCs w:val="20"/>
    </w:rPr>
  </w:style>
  <w:style w:type="paragraph" w:styleId="15">
    <w:name w:val="toc 4"/>
    <w:basedOn w:val="1"/>
    <w:next w:val="1"/>
    <w:autoRedefine/>
    <w:unhideWhenUsed/>
    <w:qFormat/>
    <w:uiPriority w:val="39"/>
    <w:pPr>
      <w:ind w:left="630"/>
      <w:jc w:val="left"/>
    </w:pPr>
    <w:rPr>
      <w:rFonts w:cstheme="minorHAnsi"/>
      <w:sz w:val="18"/>
      <w:szCs w:val="18"/>
    </w:rPr>
  </w:style>
  <w:style w:type="paragraph" w:styleId="16">
    <w:name w:val="toc 6"/>
    <w:basedOn w:val="1"/>
    <w:next w:val="1"/>
    <w:autoRedefine/>
    <w:unhideWhenUsed/>
    <w:qFormat/>
    <w:uiPriority w:val="39"/>
    <w:pPr>
      <w:ind w:left="1050"/>
      <w:jc w:val="left"/>
    </w:pPr>
    <w:rPr>
      <w:rFonts w:cstheme="minorHAnsi"/>
      <w:sz w:val="18"/>
      <w:szCs w:val="18"/>
    </w:rPr>
  </w:style>
  <w:style w:type="paragraph" w:styleId="17">
    <w:name w:val="Body Text Indent 3"/>
    <w:basedOn w:val="1"/>
    <w:link w:val="28"/>
    <w:semiHidden/>
    <w:qFormat/>
    <w:uiPriority w:val="0"/>
    <w:pPr>
      <w:ind w:firstLine="420" w:firstLineChars="200"/>
    </w:pPr>
    <w:rPr>
      <w:rFonts w:ascii="黑体" w:hAnsi="Times New Roman" w:cs="Times New Roman"/>
      <w:color w:val="0000FF"/>
      <w:szCs w:val="21"/>
    </w:rPr>
  </w:style>
  <w:style w:type="paragraph" w:styleId="18">
    <w:name w:val="toc 2"/>
    <w:basedOn w:val="1"/>
    <w:next w:val="1"/>
    <w:autoRedefine/>
    <w:unhideWhenUsed/>
    <w:qFormat/>
    <w:uiPriority w:val="39"/>
    <w:pPr>
      <w:tabs>
        <w:tab w:val="right" w:leader="dot" w:pos="8296"/>
      </w:tabs>
      <w:spacing w:line="312" w:lineRule="auto"/>
      <w:ind w:left="210"/>
      <w:jc w:val="left"/>
    </w:pPr>
    <w:rPr>
      <w:rFonts w:cstheme="minorHAnsi"/>
      <w:smallCaps/>
      <w:sz w:val="20"/>
      <w:szCs w:val="20"/>
    </w:rPr>
  </w:style>
  <w:style w:type="paragraph" w:styleId="19">
    <w:name w:val="toc 9"/>
    <w:basedOn w:val="1"/>
    <w:next w:val="1"/>
    <w:autoRedefine/>
    <w:unhideWhenUsed/>
    <w:qFormat/>
    <w:uiPriority w:val="39"/>
    <w:pPr>
      <w:ind w:left="1680"/>
      <w:jc w:val="left"/>
    </w:pPr>
    <w:rPr>
      <w:rFonts w:cstheme="minorHAnsi"/>
      <w:sz w:val="18"/>
      <w:szCs w:val="18"/>
    </w:rPr>
  </w:style>
  <w:style w:type="table" w:styleId="21">
    <w:name w:val="Table Grid"/>
    <w:basedOn w:val="20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3">
    <w:name w:val="Hyperlink"/>
    <w:basedOn w:val="22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24">
    <w:name w:val="页眉 字符"/>
    <w:basedOn w:val="22"/>
    <w:link w:val="13"/>
    <w:qFormat/>
    <w:uiPriority w:val="99"/>
    <w:rPr>
      <w:sz w:val="18"/>
      <w:szCs w:val="18"/>
    </w:rPr>
  </w:style>
  <w:style w:type="character" w:customStyle="1" w:styleId="25">
    <w:name w:val="页脚 字符"/>
    <w:basedOn w:val="22"/>
    <w:link w:val="12"/>
    <w:qFormat/>
    <w:uiPriority w:val="99"/>
    <w:rPr>
      <w:sz w:val="18"/>
      <w:szCs w:val="18"/>
    </w:rPr>
  </w:style>
  <w:style w:type="character" w:customStyle="1" w:styleId="26">
    <w:name w:val="标题 1 字符"/>
    <w:basedOn w:val="22"/>
    <w:link w:val="2"/>
    <w:qFormat/>
    <w:uiPriority w:val="0"/>
    <w:rPr>
      <w:rFonts w:ascii="Times New Roman" w:hAnsi="Times New Roman" w:eastAsia="黑体" w:cs="Times New Roman"/>
      <w:b/>
      <w:bCs/>
      <w:kern w:val="44"/>
      <w:sz w:val="36"/>
      <w:szCs w:val="44"/>
    </w:rPr>
  </w:style>
  <w:style w:type="character" w:customStyle="1" w:styleId="27">
    <w:name w:val="标题 2 字符"/>
    <w:basedOn w:val="22"/>
    <w:link w:val="3"/>
    <w:qFormat/>
    <w:uiPriority w:val="9"/>
    <w:rPr>
      <w:rFonts w:eastAsia="黑体" w:asciiTheme="majorHAnsi" w:hAnsiTheme="majorHAnsi" w:cstheme="majorBidi"/>
      <w:bCs/>
      <w:sz w:val="28"/>
      <w:szCs w:val="32"/>
    </w:rPr>
  </w:style>
  <w:style w:type="character" w:customStyle="1" w:styleId="28">
    <w:name w:val="正文文本缩进 3 字符"/>
    <w:basedOn w:val="22"/>
    <w:link w:val="17"/>
    <w:semiHidden/>
    <w:qFormat/>
    <w:uiPriority w:val="0"/>
    <w:rPr>
      <w:rFonts w:ascii="黑体" w:hAnsi="Times New Roman" w:eastAsia="黑体" w:cs="Times New Roman"/>
      <w:color w:val="0000FF"/>
      <w:szCs w:val="21"/>
    </w:rPr>
  </w:style>
  <w:style w:type="paragraph" w:styleId="29">
    <w:name w:val="List Paragraph"/>
    <w:basedOn w:val="1"/>
    <w:qFormat/>
    <w:uiPriority w:val="34"/>
    <w:pPr>
      <w:ind w:firstLine="420" w:firstLineChars="200"/>
    </w:pPr>
  </w:style>
  <w:style w:type="paragraph" w:styleId="30">
    <w:name w:val="No Spacing"/>
    <w:link w:val="32"/>
    <w:qFormat/>
    <w:uiPriority w:val="1"/>
    <w:pPr>
      <w:widowControl w:val="0"/>
      <w:jc w:val="both"/>
    </w:pPr>
    <w:rPr>
      <w:rFonts w:eastAsia="黑体" w:asciiTheme="minorHAnsi" w:hAnsiTheme="minorHAnsi" w:cstheme="minorBidi"/>
      <w:kern w:val="2"/>
      <w:sz w:val="21"/>
      <w:szCs w:val="22"/>
      <w:lang w:val="en-US" w:eastAsia="zh-CN" w:bidi="ar-SA"/>
    </w:rPr>
  </w:style>
  <w:style w:type="character" w:customStyle="1" w:styleId="31">
    <w:name w:val="标题 3 字符"/>
    <w:basedOn w:val="22"/>
    <w:link w:val="4"/>
    <w:qFormat/>
    <w:uiPriority w:val="9"/>
    <w:rPr>
      <w:rFonts w:eastAsia="黑体"/>
      <w:b/>
      <w:bCs/>
      <w:sz w:val="32"/>
      <w:szCs w:val="32"/>
    </w:rPr>
  </w:style>
  <w:style w:type="character" w:customStyle="1" w:styleId="32">
    <w:name w:val="无间隔 字符"/>
    <w:basedOn w:val="22"/>
    <w:link w:val="30"/>
    <w:qFormat/>
    <w:uiPriority w:val="1"/>
    <w:rPr>
      <w:rFonts w:eastAsia="黑体"/>
    </w:rPr>
  </w:style>
  <w:style w:type="paragraph" w:customStyle="1" w:styleId="33">
    <w:name w:val="TOC Heading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E75B6" w:themeColor="accent1" w:themeShade="BF"/>
      <w:kern w:val="0"/>
      <w:sz w:val="32"/>
      <w:szCs w:val="32"/>
    </w:rPr>
  </w:style>
  <w:style w:type="character" w:customStyle="1" w:styleId="34">
    <w:name w:val="纯文本 字符"/>
    <w:basedOn w:val="22"/>
    <w:link w:val="9"/>
    <w:qFormat/>
    <w:uiPriority w:val="0"/>
    <w:rPr>
      <w:rFonts w:ascii="宋体" w:hAnsi="Courier New" w:eastAsia="宋体" w:cs="Courier New"/>
      <w:sz w:val="24"/>
      <w:szCs w:val="21"/>
    </w:rPr>
  </w:style>
  <w:style w:type="character" w:customStyle="1" w:styleId="35">
    <w:name w:val="批注框文本 字符"/>
    <w:basedOn w:val="22"/>
    <w:link w:val="11"/>
    <w:semiHidden/>
    <w:qFormat/>
    <w:uiPriority w:val="99"/>
    <w:rPr>
      <w:rFonts w:eastAsia="黑体"/>
      <w:sz w:val="18"/>
      <w:szCs w:val="18"/>
    </w:rPr>
  </w:style>
  <w:style w:type="character" w:customStyle="1" w:styleId="36">
    <w:name w:val="文档结构图 字符"/>
    <w:basedOn w:val="22"/>
    <w:link w:val="6"/>
    <w:semiHidden/>
    <w:qFormat/>
    <w:uiPriority w:val="99"/>
    <w:rPr>
      <w:rFonts w:ascii="宋体"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D88F18-F70D-40CD-B4D1-FE2BF819E8C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1653</Words>
  <Characters>1777</Characters>
  <Lines>21</Lines>
  <Paragraphs>5</Paragraphs>
  <TotalTime>0</TotalTime>
  <ScaleCrop>false</ScaleCrop>
  <LinksUpToDate>false</LinksUpToDate>
  <CharactersWithSpaces>1826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2020-11-24T06:31:00Z</dcterms:created>
  <dc:creator>xin guan</dc:creator>
  <cp:lastModifiedBy>按时服药：</cp:lastModifiedBy>
  <cp:lastPrinted>2021-01-29T04:36:00Z</cp:lastPrinted>
  <dcterms:modified xsi:type="dcterms:W3CDTF">2025-05-28T08:48:10Z</dcterms:modified>
  <dc:subject>依兰县东升风电场</dc:subject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eyJoZGlkIjoiOTEwYTFhMTBhZTQ1MTU3NWM1NGIyYzFjZjM0NTgwZDIiLCJ1c2VySWQiOiI1NDE5MTIwNDEifQ==</vt:lpwstr>
  </property>
  <property fmtid="{D5CDD505-2E9C-101B-9397-08002B2CF9AE}" pid="3" name="KSOProductBuildVer">
    <vt:lpwstr>2052-12.1.0.21171</vt:lpwstr>
  </property>
  <property fmtid="{D5CDD505-2E9C-101B-9397-08002B2CF9AE}" pid="4" name="ICV">
    <vt:lpwstr>76C3D2D81B6D43B8A0A7D3D35D3386F6_12</vt:lpwstr>
  </property>
</Properties>
</file>